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F96FE6" w14:textId="77777777" w:rsidR="003508B4" w:rsidRDefault="00000000">
      <w:pPr>
        <w:rPr>
          <w:rFonts w:ascii="Times New Roman" w:hAnsi="Times New Roman" w:cs="Times New Roman"/>
          <w:b/>
          <w:bCs/>
          <w:sz w:val="24"/>
          <w:szCs w:val="28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8"/>
        </w:rPr>
        <w:t>Leonurine</w:t>
      </w:r>
      <w:proofErr w:type="spellEnd"/>
      <w:r>
        <w:rPr>
          <w:rFonts w:ascii="Times New Roman" w:hAnsi="Times New Roman" w:cs="Times New Roman"/>
          <w:b/>
          <w:bCs/>
          <w:sz w:val="24"/>
          <w:szCs w:val="28"/>
        </w:rPr>
        <w:t xml:space="preserve"> (SCM-198) remodeled mitochondrial function and synergistically enhanced the myocardial repair potential of mesenchymal stem cells</w:t>
      </w:r>
    </w:p>
    <w:p w14:paraId="57468E10" w14:textId="77777777" w:rsidR="003508B4" w:rsidRDefault="003508B4">
      <w:pPr>
        <w:rPr>
          <w:rFonts w:ascii="Times New Roman" w:hAnsi="Times New Roman" w:cs="Times New Roman"/>
        </w:rPr>
      </w:pPr>
    </w:p>
    <w:p w14:paraId="48C4EEE7" w14:textId="77777777" w:rsidR="003508B4" w:rsidRDefault="0000000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Zhaoyi Li </w:t>
      </w:r>
      <w:proofErr w:type="gramStart"/>
      <w:r>
        <w:rPr>
          <w:rFonts w:ascii="Times New Roman" w:hAnsi="Times New Roman" w:cs="Times New Roman"/>
          <w:vertAlign w:val="superscript"/>
        </w:rPr>
        <w:t>1,#</w:t>
      </w:r>
      <w:proofErr w:type="gramEnd"/>
      <w:r>
        <w:rPr>
          <w:rFonts w:ascii="Times New Roman" w:hAnsi="Times New Roman" w:cs="Times New Roman"/>
        </w:rPr>
        <w:t xml:space="preserve">, Weiyuan Yuan </w:t>
      </w:r>
      <w:proofErr w:type="gramStart"/>
      <w:r>
        <w:rPr>
          <w:rFonts w:ascii="Times New Roman" w:hAnsi="Times New Roman" w:cs="Times New Roman"/>
          <w:vertAlign w:val="superscript"/>
        </w:rPr>
        <w:t>2,#</w:t>
      </w:r>
      <w:proofErr w:type="gramEnd"/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Ruixiang</w:t>
      </w:r>
      <w:proofErr w:type="spellEnd"/>
      <w:r>
        <w:rPr>
          <w:rFonts w:ascii="Times New Roman" w:hAnsi="Times New Roman" w:cs="Times New Roman"/>
        </w:rPr>
        <w:t xml:space="preserve"> Wang </w:t>
      </w:r>
      <w:r>
        <w:rPr>
          <w:rFonts w:ascii="Times New Roman" w:hAnsi="Times New Roman" w:cs="Times New Roman"/>
          <w:vertAlign w:val="superscript"/>
        </w:rPr>
        <w:t>3</w:t>
      </w:r>
      <w:r>
        <w:rPr>
          <w:rFonts w:ascii="Times New Roman" w:hAnsi="Times New Roman" w:cs="Times New Roman"/>
        </w:rPr>
        <w:t xml:space="preserve">, Zi-Bo Zhang </w:t>
      </w:r>
      <w:r>
        <w:rPr>
          <w:rFonts w:ascii="Times New Roman" w:hAnsi="Times New Roman" w:cs="Times New Roman"/>
          <w:vertAlign w:val="superscript"/>
        </w:rPr>
        <w:t>4</w:t>
      </w:r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Yijia</w:t>
      </w:r>
      <w:proofErr w:type="spellEnd"/>
      <w:r>
        <w:rPr>
          <w:rFonts w:ascii="Times New Roman" w:hAnsi="Times New Roman" w:cs="Times New Roman"/>
        </w:rPr>
        <w:t xml:space="preserve"> Li </w:t>
      </w:r>
      <w:proofErr w:type="gramStart"/>
      <w:r>
        <w:rPr>
          <w:rFonts w:ascii="Times New Roman" w:hAnsi="Times New Roman" w:cs="Times New Roman"/>
          <w:vertAlign w:val="superscript"/>
        </w:rPr>
        <w:t>2,*</w:t>
      </w:r>
      <w:proofErr w:type="gramEnd"/>
      <w:r>
        <w:rPr>
          <w:rFonts w:ascii="Times New Roman" w:hAnsi="Times New Roman" w:cs="Times New Roman"/>
        </w:rPr>
        <w:t xml:space="preserve">, Yi Zhun Zhu </w:t>
      </w:r>
      <w:r>
        <w:rPr>
          <w:rFonts w:ascii="Times New Roman" w:hAnsi="Times New Roman" w:cs="Times New Roman"/>
          <w:vertAlign w:val="superscript"/>
        </w:rPr>
        <w:t>1,</w:t>
      </w:r>
      <w:proofErr w:type="gramStart"/>
      <w:r>
        <w:rPr>
          <w:rFonts w:ascii="Times New Roman" w:hAnsi="Times New Roman" w:cs="Times New Roman"/>
          <w:vertAlign w:val="superscript"/>
        </w:rPr>
        <w:t>5,*</w:t>
      </w:r>
      <w:proofErr w:type="gramEnd"/>
    </w:p>
    <w:p w14:paraId="460DEDC2" w14:textId="77777777" w:rsidR="003508B4" w:rsidRDefault="003508B4">
      <w:pPr>
        <w:rPr>
          <w:rFonts w:ascii="Times New Roman" w:hAnsi="Times New Roman" w:cs="Times New Roman"/>
        </w:rPr>
      </w:pPr>
    </w:p>
    <w:p w14:paraId="1F66FD27" w14:textId="77777777" w:rsidR="003508B4" w:rsidRDefault="00000000">
      <w:pPr>
        <w:rPr>
          <w:rFonts w:ascii="Times New Roman" w:hAnsi="Times New Roman" w:cs="Times New Roman"/>
          <w:sz w:val="20"/>
          <w:szCs w:val="21"/>
        </w:rPr>
      </w:pPr>
      <w:r>
        <w:rPr>
          <w:rFonts w:ascii="Times New Roman" w:hAnsi="Times New Roman" w:cs="Times New Roman"/>
          <w:sz w:val="20"/>
          <w:szCs w:val="21"/>
          <w:vertAlign w:val="superscript"/>
        </w:rPr>
        <w:t xml:space="preserve">1 </w:t>
      </w:r>
      <w:r>
        <w:rPr>
          <w:rFonts w:ascii="Times New Roman" w:hAnsi="Times New Roman" w:cs="Times New Roman"/>
          <w:sz w:val="20"/>
          <w:szCs w:val="21"/>
        </w:rPr>
        <w:t>School of Pharmacy, Faculty of Medicine &amp; Laboratory of Drug Discovery from Natural Resources and Industrialization, Macau University of Science and Technology, Macau SAR, 999078, China.</w:t>
      </w:r>
    </w:p>
    <w:p w14:paraId="4D0A7432" w14:textId="77777777" w:rsidR="003508B4" w:rsidRDefault="00000000">
      <w:pPr>
        <w:rPr>
          <w:rFonts w:ascii="Times New Roman" w:hAnsi="Times New Roman" w:cs="Times New Roman"/>
          <w:sz w:val="20"/>
          <w:szCs w:val="21"/>
        </w:rPr>
      </w:pPr>
      <w:r>
        <w:rPr>
          <w:rFonts w:ascii="Times New Roman" w:hAnsi="Times New Roman" w:cs="Times New Roman"/>
          <w:sz w:val="20"/>
          <w:szCs w:val="21"/>
          <w:vertAlign w:val="superscript"/>
        </w:rPr>
        <w:t xml:space="preserve">2 </w:t>
      </w:r>
      <w:r>
        <w:rPr>
          <w:rFonts w:ascii="Times New Roman" w:hAnsi="Times New Roman" w:cs="Times New Roman"/>
          <w:sz w:val="20"/>
          <w:szCs w:val="21"/>
        </w:rPr>
        <w:t xml:space="preserve">Shanghai </w:t>
      </w:r>
      <w:proofErr w:type="spellStart"/>
      <w:r>
        <w:rPr>
          <w:rFonts w:ascii="Times New Roman" w:hAnsi="Times New Roman" w:cs="Times New Roman"/>
          <w:sz w:val="20"/>
          <w:szCs w:val="21"/>
        </w:rPr>
        <w:t>CiMSC</w:t>
      </w:r>
      <w:proofErr w:type="spellEnd"/>
      <w:r>
        <w:rPr>
          <w:rFonts w:ascii="Times New Roman" w:hAnsi="Times New Roman" w:cs="Times New Roman"/>
          <w:sz w:val="20"/>
          <w:szCs w:val="21"/>
        </w:rPr>
        <w:t xml:space="preserve"> Biomedicine Co., Ltd., Shanghai, 201900, China.</w:t>
      </w:r>
    </w:p>
    <w:p w14:paraId="25187064" w14:textId="77777777" w:rsidR="003508B4" w:rsidRDefault="00000000">
      <w:pPr>
        <w:rPr>
          <w:rFonts w:ascii="Times New Roman" w:hAnsi="Times New Roman" w:cs="Times New Roman"/>
          <w:sz w:val="20"/>
          <w:szCs w:val="21"/>
        </w:rPr>
      </w:pPr>
      <w:r>
        <w:rPr>
          <w:rFonts w:ascii="Times New Roman" w:hAnsi="Times New Roman" w:cs="Times New Roman"/>
          <w:sz w:val="20"/>
          <w:szCs w:val="21"/>
          <w:vertAlign w:val="superscript"/>
        </w:rPr>
        <w:t xml:space="preserve">3 </w:t>
      </w:r>
      <w:r>
        <w:rPr>
          <w:rFonts w:ascii="Times New Roman" w:hAnsi="Times New Roman" w:cs="Times New Roman"/>
          <w:sz w:val="20"/>
          <w:szCs w:val="21"/>
        </w:rPr>
        <w:t>State Key Laboratory of Quality Research in Chinese Medicines, Macau University of Science and Technology, Macau SAR, 999078, China.</w:t>
      </w:r>
    </w:p>
    <w:p w14:paraId="359C7815" w14:textId="77777777" w:rsidR="003508B4" w:rsidRDefault="00000000">
      <w:pPr>
        <w:rPr>
          <w:rFonts w:ascii="Times New Roman" w:hAnsi="Times New Roman" w:cs="Times New Roman"/>
          <w:sz w:val="20"/>
          <w:szCs w:val="21"/>
        </w:rPr>
      </w:pPr>
      <w:r>
        <w:rPr>
          <w:rFonts w:ascii="Times New Roman" w:hAnsi="Times New Roman" w:cs="Times New Roman"/>
          <w:sz w:val="20"/>
          <w:szCs w:val="21"/>
          <w:vertAlign w:val="superscript"/>
        </w:rPr>
        <w:t xml:space="preserve">4 </w:t>
      </w:r>
      <w:r>
        <w:rPr>
          <w:rFonts w:ascii="Times New Roman" w:hAnsi="Times New Roman" w:cs="Times New Roman"/>
          <w:sz w:val="20"/>
          <w:szCs w:val="21"/>
        </w:rPr>
        <w:t>School of Pharmacy, Faculty of Medicine &amp; State Key Laboratory of Quality Research in Chinese Medicines, Macau University of Science and Technology, Macau SAR, 999078, China.</w:t>
      </w:r>
    </w:p>
    <w:p w14:paraId="4EB7899B" w14:textId="77777777" w:rsidR="003508B4" w:rsidRDefault="00000000">
      <w:pPr>
        <w:rPr>
          <w:rFonts w:ascii="Times New Roman" w:hAnsi="Times New Roman" w:cs="Times New Roman"/>
          <w:sz w:val="20"/>
          <w:szCs w:val="21"/>
        </w:rPr>
      </w:pPr>
      <w:r>
        <w:rPr>
          <w:rFonts w:ascii="Times New Roman" w:hAnsi="Times New Roman" w:cs="Times New Roman"/>
          <w:sz w:val="20"/>
          <w:szCs w:val="21"/>
          <w:vertAlign w:val="superscript"/>
        </w:rPr>
        <w:t xml:space="preserve">5 </w:t>
      </w:r>
      <w:r>
        <w:rPr>
          <w:rFonts w:ascii="Times New Roman" w:hAnsi="Times New Roman" w:cs="Times New Roman"/>
          <w:sz w:val="20"/>
          <w:szCs w:val="21"/>
        </w:rPr>
        <w:t>Shanghai Key Laboratory of Bioactive Small Molecules, Department of Pharmacology, School of Pharmacy, Fudan University, Shanghai, 201203, China.</w:t>
      </w:r>
    </w:p>
    <w:p w14:paraId="7226E030" w14:textId="77777777" w:rsidR="003508B4" w:rsidRDefault="003508B4">
      <w:pPr>
        <w:rPr>
          <w:rFonts w:hint="eastAsia"/>
        </w:rPr>
      </w:pPr>
    </w:p>
    <w:p w14:paraId="58738C52" w14:textId="77777777" w:rsidR="003508B4" w:rsidRDefault="0000000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#Co-first author, equal contribution.</w:t>
      </w:r>
    </w:p>
    <w:p w14:paraId="63DAFB6E" w14:textId="77777777" w:rsidR="003508B4" w:rsidRDefault="00000000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*Email of corresponding authors: yzzhu@must.edu.mo (Y. Z. Zhu), yijia.tsinghua@gmail.com (Y. Li)</w:t>
      </w:r>
    </w:p>
    <w:p w14:paraId="62EC9C67" w14:textId="77777777" w:rsidR="003508B4" w:rsidRDefault="003508B4">
      <w:p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p w14:paraId="2A38F569" w14:textId="77777777" w:rsidR="003508B4" w:rsidRDefault="00000000">
      <w:p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  <w:r>
        <w:rPr>
          <w:rFonts w:ascii="Times New Roman" w:eastAsia="宋体" w:hAnsi="Times New Roman" w:cs="Times New Roman"/>
          <w:bCs/>
          <w:color w:val="000000"/>
          <w:szCs w:val="21"/>
          <w:lang w:bidi="ar"/>
        </w:rPr>
        <w:t>Contents</w:t>
      </w:r>
    </w:p>
    <w:p w14:paraId="662B7663" w14:textId="77777777" w:rsidR="003508B4" w:rsidRDefault="00000000" w:rsidP="00003397">
      <w:pPr>
        <w:pStyle w:val="a9"/>
        <w:numPr>
          <w:ilvl w:val="0"/>
          <w:numId w:val="1"/>
        </w:numPr>
        <w:jc w:val="left"/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</w:pPr>
      <w:r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  <w:t>Figure S1.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 xml:space="preserve"> </w:t>
      </w:r>
      <w:r w:rsidRPr="00003397"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UMAP projection of MSC subpopulation distribution across all biological replicates.</w:t>
      </w:r>
    </w:p>
    <w:p w14:paraId="2C69AB7A" w14:textId="7CB76A10" w:rsidR="003508B4" w:rsidRDefault="00000000" w:rsidP="00003397">
      <w:pPr>
        <w:pStyle w:val="a9"/>
        <w:numPr>
          <w:ilvl w:val="0"/>
          <w:numId w:val="1"/>
        </w:numPr>
        <w:jc w:val="left"/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</w:pPr>
      <w:r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  <w:t>Figure S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2</w:t>
      </w:r>
      <w:r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  <w:t xml:space="preserve">. </w:t>
      </w:r>
      <w:r w:rsidRPr="00003397"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Marker gene expression distribution of MSC functional subpopulations identified by single-cell RNA sequencing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.</w:t>
      </w:r>
    </w:p>
    <w:p w14:paraId="0A03C652" w14:textId="243BB122" w:rsidR="003508B4" w:rsidRDefault="00000000" w:rsidP="00003397">
      <w:pPr>
        <w:pStyle w:val="a9"/>
        <w:numPr>
          <w:ilvl w:val="0"/>
          <w:numId w:val="1"/>
        </w:numPr>
        <w:jc w:val="left"/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</w:pPr>
      <w:r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  <w:t>Figure S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3</w:t>
      </w:r>
      <w:r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  <w:t>.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 xml:space="preserve"> </w:t>
      </w:r>
      <w:r w:rsidRPr="00003397"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 xml:space="preserve">Statistical plot of differentially expressed miRNAs in MSC exosomes induced by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 xml:space="preserve"> pretreatment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.</w:t>
      </w:r>
    </w:p>
    <w:p w14:paraId="4DDC00FE" w14:textId="77777777" w:rsidR="003508B4" w:rsidRDefault="00000000" w:rsidP="00003397">
      <w:pPr>
        <w:pStyle w:val="a9"/>
        <w:numPr>
          <w:ilvl w:val="0"/>
          <w:numId w:val="1"/>
        </w:numPr>
        <w:jc w:val="left"/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Table S1. Cell number distribution of initial cell clusters across all biological replicates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.</w:t>
      </w:r>
    </w:p>
    <w:p w14:paraId="0C1EFBE0" w14:textId="2D711C12" w:rsidR="003508B4" w:rsidRDefault="00000000" w:rsidP="00003397">
      <w:pPr>
        <w:pStyle w:val="a9"/>
        <w:numPr>
          <w:ilvl w:val="0"/>
          <w:numId w:val="1"/>
        </w:numPr>
        <w:jc w:val="left"/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Table S2. Functional subpopulation proportion distribution across all biological replicates.</w:t>
      </w:r>
    </w:p>
    <w:p w14:paraId="00C4CEBC" w14:textId="674EB694" w:rsidR="003508B4" w:rsidRDefault="00000000" w:rsidP="00003397">
      <w:pPr>
        <w:pStyle w:val="a9"/>
        <w:numPr>
          <w:ilvl w:val="0"/>
          <w:numId w:val="1"/>
        </w:numPr>
        <w:jc w:val="left"/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</w:pP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Video S1</w:t>
      </w:r>
      <w:r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  <w:t xml:space="preserve">. 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Representative video recordings of the dynamic processes of Co-MSC were performed using live-cell microscopy real-time imaging technology.</w:t>
      </w:r>
    </w:p>
    <w:p w14:paraId="22CA7DD4" w14:textId="51BF3603" w:rsidR="003508B4" w:rsidRDefault="00000000" w:rsidP="00003397">
      <w:pPr>
        <w:pStyle w:val="a9"/>
        <w:numPr>
          <w:ilvl w:val="0"/>
          <w:numId w:val="1"/>
        </w:numPr>
        <w:jc w:val="left"/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</w:pP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Video</w:t>
      </w:r>
      <w:r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  <w:t xml:space="preserve"> S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2</w:t>
      </w:r>
      <w:r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  <w:t xml:space="preserve">. 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Representative video recordings of the dynamic processes of Co-</w:t>
      </w:r>
      <w:proofErr w:type="spellStart"/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>MSC</w:t>
      </w:r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vertAlign w:val="superscript"/>
          <w:lang w:bidi="ar"/>
        </w:rPr>
        <w:t>Leo</w:t>
      </w:r>
      <w:proofErr w:type="spellEnd"/>
      <w:r>
        <w:rPr>
          <w:rFonts w:ascii="Times New Roman" w:eastAsia="宋体" w:hAnsi="Times New Roman" w:cs="Times New Roman" w:hint="eastAsia"/>
          <w:bCs/>
          <w:color w:val="000000"/>
          <w:sz w:val="21"/>
          <w:szCs w:val="21"/>
          <w:lang w:bidi="ar"/>
        </w:rPr>
        <w:t xml:space="preserve"> were performed using live-cell microscopy real-time imaging technology</w:t>
      </w:r>
      <w:r>
        <w:rPr>
          <w:rFonts w:ascii="Times New Roman" w:eastAsia="宋体" w:hAnsi="Times New Roman" w:cs="Times New Roman"/>
          <w:bCs/>
          <w:color w:val="000000"/>
          <w:sz w:val="21"/>
          <w:szCs w:val="21"/>
          <w:lang w:bidi="ar"/>
        </w:rPr>
        <w:t>.</w:t>
      </w:r>
    </w:p>
    <w:p w14:paraId="4D49FA2E" w14:textId="77777777" w:rsidR="003508B4" w:rsidRDefault="003508B4">
      <w:pPr>
        <w:rPr>
          <w:rFonts w:ascii="Times New Roman" w:hAnsi="Times New Roman" w:cs="Times New Roman"/>
        </w:rPr>
      </w:pPr>
    </w:p>
    <w:p w14:paraId="32F3E9BE" w14:textId="77777777" w:rsidR="003508B4" w:rsidRPr="00003397" w:rsidRDefault="003508B4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p w14:paraId="525ADDF0" w14:textId="77777777" w:rsidR="003508B4" w:rsidRPr="00003397" w:rsidRDefault="00000000" w:rsidP="00003397">
      <w:pPr>
        <w:numPr>
          <w:ilvl w:val="0"/>
          <w:numId w:val="2"/>
        </w:numPr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>Figure S1</w:t>
      </w:r>
      <w:r w:rsidRPr="00003397">
        <w:rPr>
          <w:rFonts w:ascii="Times New Roman" w:eastAsia="宋体" w:hAnsi="Times New Roman" w:cs="Times New Roman"/>
          <w:b/>
          <w:color w:val="000000"/>
          <w:szCs w:val="21"/>
          <w:lang w:bidi="ar"/>
        </w:rPr>
        <w:t>.</w:t>
      </w:r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 xml:space="preserve"> UMAP projection of MSC subpopulation distribution across all biological replicates.</w:t>
      </w:r>
    </w:p>
    <w:p w14:paraId="030117B5" w14:textId="77777777" w:rsidR="003508B4" w:rsidRDefault="00000000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UMAP plots showing the consistent subpopulation clustering results for each of the 6 biological replicates: the top panel shows 3 independent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-treated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replicates (MSC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-1/2/3), and the bottom panel shows 3 independent untreated MSC replicates (MSC-1/2/3). The subpopulation composition is highly consistent within the same group, and the significant shift from MSC_2-dominant phenotype to MSC_1/MSC_3-dominant phenotype after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treatment is reproducible across all replicates, confirming the reliability of the single-cell sequencing results.</w:t>
      </w:r>
    </w:p>
    <w:p w14:paraId="5BF73439" w14:textId="77777777" w:rsidR="003508B4" w:rsidRDefault="00000000" w:rsidP="00003397">
      <w:pPr>
        <w:numPr>
          <w:ilvl w:val="255"/>
          <w:numId w:val="0"/>
        </w:numPr>
        <w:jc w:val="center"/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  <w:r>
        <w:rPr>
          <w:rFonts w:ascii="Times New Roman" w:eastAsia="宋体" w:hAnsi="Times New Roman" w:cs="Times New Roman" w:hint="eastAsia"/>
          <w:bCs/>
          <w:noProof/>
          <w:color w:val="000000"/>
          <w:szCs w:val="21"/>
          <w:lang w:bidi="ar"/>
        </w:rPr>
        <w:lastRenderedPageBreak/>
        <w:drawing>
          <wp:inline distT="0" distB="0" distL="114300" distR="114300" wp14:anchorId="0BE94959" wp14:editId="0FAF9D6C">
            <wp:extent cx="5049520" cy="2957195"/>
            <wp:effectExtent l="0" t="0" r="0" b="14605"/>
            <wp:docPr id="5" name="图片 5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49520" cy="295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9B54C3" w14:textId="77777777" w:rsidR="003508B4" w:rsidRPr="00003397" w:rsidRDefault="00000000" w:rsidP="00003397">
      <w:pPr>
        <w:numPr>
          <w:ilvl w:val="255"/>
          <w:numId w:val="0"/>
        </w:numPr>
        <w:jc w:val="center"/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Figure S1. UMAP projection of MSC subpopulation distribution across all biological replicates</w:t>
      </w:r>
    </w:p>
    <w:p w14:paraId="230F9675" w14:textId="77777777" w:rsidR="003508B4" w:rsidRDefault="00000000" w:rsidP="00003397">
      <w:pPr>
        <w:numPr>
          <w:ilvl w:val="255"/>
          <w:numId w:val="0"/>
        </w:numPr>
        <w:jc w:val="center"/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(A) UMAP plots of three independent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-treated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replicates (MSC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-1/2/3). (B) UMAP plots of three independent untreated MSC replicates (MSC-1/2/3). Cells are colored by annotated functional subpopulations: green for the metabolically active MSC_1 subpopulation, orange for the quiescent MSC_2 subpopulation, and purple for the highly proliferative MSC_3 subpopulation. The consistent subpopulation distribution within each group and the reproducible subpopulation shift between groups confirm the high reliability of the single-cell sequencing analysis.</w:t>
      </w:r>
    </w:p>
    <w:p w14:paraId="280BC346" w14:textId="77777777" w:rsidR="003508B4" w:rsidRDefault="003508B4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p w14:paraId="664F13D1" w14:textId="79FB9D0C" w:rsidR="003508B4" w:rsidRPr="00003397" w:rsidRDefault="00000000" w:rsidP="00003397">
      <w:pPr>
        <w:numPr>
          <w:ilvl w:val="0"/>
          <w:numId w:val="2"/>
        </w:numPr>
        <w:rPr>
          <w:rFonts w:ascii="Times New Roman" w:eastAsia="宋体" w:hAnsi="Times New Roman" w:cs="Times New Roman"/>
          <w:b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/>
          <w:b/>
          <w:color w:val="000000"/>
          <w:szCs w:val="21"/>
          <w:lang w:bidi="ar"/>
        </w:rPr>
        <w:t>Figure S</w:t>
      </w:r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>2</w:t>
      </w:r>
      <w:r w:rsidRPr="00003397">
        <w:rPr>
          <w:rFonts w:ascii="Times New Roman" w:eastAsia="宋体" w:hAnsi="Times New Roman" w:cs="Times New Roman"/>
          <w:b/>
          <w:color w:val="000000"/>
          <w:szCs w:val="21"/>
          <w:lang w:bidi="ar"/>
        </w:rPr>
        <w:t xml:space="preserve">. </w:t>
      </w:r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>Marker gene expression distribution of MSC functional subpopulations identified by single-cell RNA sequencing.</w:t>
      </w:r>
    </w:p>
    <w:p w14:paraId="02B82C65" w14:textId="77777777" w:rsidR="003508B4" w:rsidRPr="00003397" w:rsidRDefault="00000000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UMAP projection showing the expression pattern of representative marker genes for the three MSC functional subpopulations annotated in the main text: universal MSC marker genes are consistently expressed in all cells to confirm cell identity; the pro-repair MSC_1 subpopulation specifically highly expresses energy transport and paracrine regulation related genes SLC20A1 and PLAT; the highly proliferative MSC_3 subpopulation specifically highly expresses cell cycle key regulator genes TOP2A, ASPM and CENPE, consistent with the subpopulation functional characterization in the main text.</w:t>
      </w:r>
    </w:p>
    <w:p w14:paraId="6E8BCEA5" w14:textId="77777777" w:rsidR="003508B4" w:rsidRDefault="00000000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highlight w:val="yellow"/>
          <w:lang w:bidi="ar"/>
        </w:rPr>
      </w:pPr>
      <w:r>
        <w:rPr>
          <w:noProof/>
        </w:rPr>
        <w:lastRenderedPageBreak/>
        <w:drawing>
          <wp:inline distT="0" distB="0" distL="114300" distR="114300" wp14:anchorId="5F36F3A7" wp14:editId="5A2E2914">
            <wp:extent cx="5266690" cy="2183130"/>
            <wp:effectExtent l="0" t="0" r="1651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8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837361" w14:textId="77777777" w:rsidR="003508B4" w:rsidRPr="00003397" w:rsidRDefault="00000000" w:rsidP="00003397">
      <w:pPr>
        <w:numPr>
          <w:ilvl w:val="255"/>
          <w:numId w:val="0"/>
        </w:numPr>
        <w:jc w:val="center"/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/>
          <w:bCs/>
          <w:color w:val="000000"/>
          <w:szCs w:val="21"/>
          <w:lang w:bidi="ar"/>
        </w:rPr>
        <w:t>Figure S</w:t>
      </w:r>
      <w:r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2</w:t>
      </w:r>
      <w:r w:rsidRPr="00003397">
        <w:rPr>
          <w:rFonts w:ascii="Times New Roman" w:eastAsia="宋体" w:hAnsi="Times New Roman" w:cs="Times New Roman"/>
          <w:bCs/>
          <w:color w:val="000000"/>
          <w:szCs w:val="21"/>
          <w:lang w:bidi="ar"/>
        </w:rPr>
        <w:t xml:space="preserve">. 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Marker gene expression distribution of MSC functional subpopulations identified by single-cell RNA sequencing</w:t>
      </w:r>
      <w:r w:rsidRPr="00003397">
        <w:rPr>
          <w:rFonts w:ascii="Times New Roman" w:eastAsia="宋体" w:hAnsi="Times New Roman" w:cs="Times New Roman"/>
          <w:bCs/>
          <w:color w:val="000000"/>
          <w:szCs w:val="21"/>
          <w:lang w:bidi="ar"/>
        </w:rPr>
        <w:t>.</w:t>
      </w:r>
      <w:r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(A) 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MSC_1 subpopulation-specific marker genes</w:t>
      </w:r>
      <w:r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. (B) MSC_2 subpopulation-specific marker genes. (C) MSC_3 subpopulation-specific marker genes.</w:t>
      </w:r>
    </w:p>
    <w:p w14:paraId="41EDF5C7" w14:textId="77777777" w:rsidR="003508B4" w:rsidRPr="00003397" w:rsidRDefault="003508B4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p w14:paraId="60FAAD35" w14:textId="77777777" w:rsidR="003508B4" w:rsidRPr="00003397" w:rsidRDefault="00000000" w:rsidP="00003397">
      <w:pPr>
        <w:numPr>
          <w:ilvl w:val="255"/>
          <w:numId w:val="0"/>
        </w:numPr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/>
          <w:b/>
          <w:color w:val="000000"/>
          <w:szCs w:val="21"/>
          <w:lang w:bidi="ar"/>
        </w:rPr>
        <w:t>Figure S</w:t>
      </w:r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>3</w:t>
      </w:r>
      <w:r w:rsidRPr="00003397">
        <w:rPr>
          <w:rFonts w:ascii="Times New Roman" w:eastAsia="宋体" w:hAnsi="Times New Roman" w:cs="Times New Roman"/>
          <w:b/>
          <w:color w:val="000000"/>
          <w:szCs w:val="21"/>
          <w:lang w:bidi="ar"/>
        </w:rPr>
        <w:t>.</w:t>
      </w:r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 xml:space="preserve"> Statistical histogram of differentially expressed miRNAs in MSC exosomes induced by </w:t>
      </w:r>
      <w:proofErr w:type="spellStart"/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 xml:space="preserve"> pretreatment.</w:t>
      </w:r>
    </w:p>
    <w:p w14:paraId="0BD3A2E6" w14:textId="77777777" w:rsidR="003508B4" w:rsidRDefault="00000000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The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histogram shows the number of significantly upregulated (red) and downregulated (blue) miRNAs in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-pretreated MSC exosomes (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_EXO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) compared with untreated MSC exosomes (MSC_EXO) under three different adjusted p-value thresholds: 44 upregulated and 151 downregulated at adjusted </w:t>
      </w:r>
      <w:r w:rsidRPr="00003397">
        <w:rPr>
          <w:rFonts w:ascii="Times New Roman Italic" w:eastAsia="宋体" w:hAnsi="Times New Roman Italic" w:cs="Times New Roman Italic" w:hint="eastAsia"/>
          <w:bCs/>
          <w:i/>
          <w:iCs/>
          <w:color w:val="000000"/>
          <w:szCs w:val="21"/>
          <w:lang w:bidi="ar"/>
        </w:rPr>
        <w:t>p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&lt; 0.01; 118 upregulated and 230 downregulated at adjusted </w:t>
      </w:r>
      <w:r w:rsidRPr="00003397">
        <w:rPr>
          <w:rFonts w:ascii="Times New Roman Italic" w:eastAsia="宋体" w:hAnsi="Times New Roman Italic" w:cs="Times New Roman Italic" w:hint="eastAsia"/>
          <w:bCs/>
          <w:i/>
          <w:iCs/>
          <w:color w:val="000000"/>
          <w:szCs w:val="21"/>
          <w:lang w:bidi="ar"/>
        </w:rPr>
        <w:t>p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&lt; 0.05; 124 upregulated and 323 downregulated at adjusted </w:t>
      </w:r>
      <w:r w:rsidRPr="00003397">
        <w:rPr>
          <w:rFonts w:ascii="Times New Roman Italic" w:eastAsia="宋体" w:hAnsi="Times New Roman Italic" w:cs="Times New Roman Italic" w:hint="eastAsia"/>
          <w:bCs/>
          <w:i/>
          <w:iCs/>
          <w:color w:val="000000"/>
          <w:szCs w:val="21"/>
          <w:lang w:bidi="ar"/>
        </w:rPr>
        <w:t>p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&lt; 0.1.</w:t>
      </w:r>
    </w:p>
    <w:p w14:paraId="50815227" w14:textId="77777777" w:rsidR="003D4953" w:rsidRPr="00003397" w:rsidRDefault="003D4953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p w14:paraId="511D0076" w14:textId="77777777" w:rsidR="003508B4" w:rsidRDefault="00000000" w:rsidP="00003397">
      <w:pPr>
        <w:numPr>
          <w:ilvl w:val="255"/>
          <w:numId w:val="0"/>
        </w:numPr>
        <w:jc w:val="center"/>
        <w:rPr>
          <w:rFonts w:ascii="Times New Roman" w:eastAsia="宋体" w:hAnsi="Times New Roman" w:cs="Times New Roman"/>
          <w:bCs/>
          <w:color w:val="000000"/>
          <w:szCs w:val="21"/>
          <w:highlight w:val="yellow"/>
          <w:lang w:bidi="ar"/>
        </w:rPr>
      </w:pPr>
      <w:r>
        <w:rPr>
          <w:noProof/>
        </w:rPr>
        <w:drawing>
          <wp:inline distT="0" distB="0" distL="114300" distR="114300" wp14:anchorId="37EAD52F" wp14:editId="47013BA6">
            <wp:extent cx="4225925" cy="2534920"/>
            <wp:effectExtent l="0" t="0" r="15875" b="5080"/>
            <wp:docPr id="3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25925" cy="253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77D77" w14:textId="77777777" w:rsidR="003508B4" w:rsidRPr="00003397" w:rsidRDefault="00000000" w:rsidP="00003397">
      <w:pPr>
        <w:numPr>
          <w:ilvl w:val="255"/>
          <w:numId w:val="0"/>
        </w:numPr>
        <w:jc w:val="center"/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Figure S</w:t>
      </w:r>
      <w:r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3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. Statistical histogram of differentially expressed miRNAs in MSC exosomes induced by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pretreatment</w:t>
      </w:r>
      <w:r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.</w:t>
      </w:r>
    </w:p>
    <w:p w14:paraId="14852CD4" w14:textId="77777777" w:rsidR="003508B4" w:rsidRPr="00003397" w:rsidRDefault="003508B4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p w14:paraId="54157863" w14:textId="13921160" w:rsidR="003508B4" w:rsidRPr="00003397" w:rsidRDefault="00000000" w:rsidP="00003397">
      <w:pPr>
        <w:numPr>
          <w:ilvl w:val="255"/>
          <w:numId w:val="0"/>
        </w:numPr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>Table S1. Cell number distribution of initial cell clusters across all biological replicates</w:t>
      </w:r>
      <w:r w:rsidR="003D4953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>.</w:t>
      </w:r>
    </w:p>
    <w:p w14:paraId="56B850B8" w14:textId="77777777" w:rsidR="003508B4" w:rsidRPr="00003397" w:rsidRDefault="00000000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Statistics of cell counts and proportions of 7 transcriptionally distinct cell clusters identified by UMAP clustering in each sample, including 3 untreated MSC replicates (MSC-1/2/3) and 3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-treated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replicates (MSC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-1/2/3).</w:t>
      </w:r>
    </w:p>
    <w:p w14:paraId="77FD8C1D" w14:textId="77777777" w:rsidR="003508B4" w:rsidRDefault="003508B4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tbl>
      <w:tblPr>
        <w:tblW w:w="5000" w:type="pct"/>
        <w:jc w:val="center"/>
        <w:tblBorders>
          <w:top w:val="single" w:sz="4" w:space="0" w:color="auto"/>
          <w:bottom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25"/>
        <w:gridCol w:w="1190"/>
        <w:gridCol w:w="1290"/>
        <w:gridCol w:w="1290"/>
        <w:gridCol w:w="1204"/>
        <w:gridCol w:w="1203"/>
        <w:gridCol w:w="1204"/>
      </w:tblGrid>
      <w:tr w:rsidR="003508B4" w14:paraId="6A41C0D5" w14:textId="77777777" w:rsidTr="00003397">
        <w:trPr>
          <w:tblHeader/>
          <w:jc w:val="center"/>
        </w:trPr>
        <w:tc>
          <w:tcPr>
            <w:tcW w:w="556" w:type="pct"/>
            <w:tcBorders>
              <w:bottom w:val="single" w:sz="4" w:space="0" w:color="auto"/>
            </w:tcBorders>
            <w:vAlign w:val="center"/>
          </w:tcPr>
          <w:p w14:paraId="54F53C9B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Cluster</w:t>
            </w:r>
          </w:p>
        </w:tc>
        <w:tc>
          <w:tcPr>
            <w:tcW w:w="716" w:type="pct"/>
            <w:tcBorders>
              <w:bottom w:val="single" w:sz="4" w:space="0" w:color="auto"/>
            </w:tcBorders>
            <w:vAlign w:val="center"/>
          </w:tcPr>
          <w:p w14:paraId="5F22DAC0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宋体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</w:t>
            </w:r>
            <w:r w:rsidRPr="00003397">
              <w:rPr>
                <w:rFonts w:ascii="Times New Roman Bold" w:eastAsia="宋体" w:hAnsi="Times New Roman Bold" w:cs="Times New Roman Bold"/>
                <w:b/>
                <w:bCs/>
                <w:color w:val="000000"/>
                <w:sz w:val="18"/>
                <w:szCs w:val="18"/>
                <w:vertAlign w:val="superscript"/>
              </w:rPr>
              <w:t>leo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776" w:type="pct"/>
            <w:tcBorders>
              <w:bottom w:val="single" w:sz="4" w:space="0" w:color="auto"/>
            </w:tcBorders>
            <w:vAlign w:val="center"/>
          </w:tcPr>
          <w:p w14:paraId="572EECC9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  <w:vertAlign w:val="superscript"/>
              </w:rPr>
              <w:t>leo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-2</w:t>
            </w:r>
          </w:p>
        </w:tc>
        <w:tc>
          <w:tcPr>
            <w:tcW w:w="776" w:type="pct"/>
            <w:tcBorders>
              <w:bottom w:val="single" w:sz="4" w:space="0" w:color="auto"/>
            </w:tcBorders>
            <w:vAlign w:val="center"/>
          </w:tcPr>
          <w:p w14:paraId="3E3ED095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  <w:vertAlign w:val="superscript"/>
              </w:rPr>
              <w:t>leo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724" w:type="pct"/>
            <w:tcBorders>
              <w:bottom w:val="single" w:sz="4" w:space="0" w:color="auto"/>
            </w:tcBorders>
            <w:vAlign w:val="center"/>
          </w:tcPr>
          <w:p w14:paraId="0AD4BDBF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MSC-1</w:t>
            </w:r>
          </w:p>
        </w:tc>
        <w:tc>
          <w:tcPr>
            <w:tcW w:w="724" w:type="pct"/>
            <w:tcBorders>
              <w:bottom w:val="single" w:sz="4" w:space="0" w:color="auto"/>
            </w:tcBorders>
            <w:vAlign w:val="center"/>
          </w:tcPr>
          <w:p w14:paraId="1E800528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MSC-2</w:t>
            </w:r>
          </w:p>
        </w:tc>
        <w:tc>
          <w:tcPr>
            <w:tcW w:w="725" w:type="pct"/>
            <w:tcBorders>
              <w:bottom w:val="single" w:sz="4" w:space="0" w:color="auto"/>
            </w:tcBorders>
            <w:vAlign w:val="center"/>
          </w:tcPr>
          <w:p w14:paraId="30528EEC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MSC-3</w:t>
            </w:r>
          </w:p>
        </w:tc>
      </w:tr>
      <w:tr w:rsidR="003508B4" w14:paraId="2D501F4C" w14:textId="77777777" w:rsidTr="00003397">
        <w:trPr>
          <w:jc w:val="center"/>
        </w:trPr>
        <w:tc>
          <w:tcPr>
            <w:tcW w:w="556" w:type="pct"/>
            <w:tcBorders>
              <w:top w:val="single" w:sz="4" w:space="0" w:color="auto"/>
            </w:tcBorders>
            <w:vAlign w:val="center"/>
          </w:tcPr>
          <w:p w14:paraId="778FA80E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Total</w:t>
            </w:r>
            <w:r>
              <w:rPr>
                <w:rFonts w:ascii="Times New Roman Regular" w:eastAsia="Times New Roman Regular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 xml:space="preserve"> </w:t>
            </w: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cell</w:t>
            </w:r>
          </w:p>
        </w:tc>
        <w:tc>
          <w:tcPr>
            <w:tcW w:w="716" w:type="pct"/>
            <w:tcBorders>
              <w:top w:val="single" w:sz="4" w:space="0" w:color="auto"/>
            </w:tcBorders>
            <w:vAlign w:val="center"/>
          </w:tcPr>
          <w:p w14:paraId="5D2F2AE1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10108</w:t>
            </w:r>
          </w:p>
        </w:tc>
        <w:tc>
          <w:tcPr>
            <w:tcW w:w="776" w:type="pct"/>
            <w:tcBorders>
              <w:top w:val="single" w:sz="4" w:space="0" w:color="auto"/>
            </w:tcBorders>
            <w:vAlign w:val="center"/>
          </w:tcPr>
          <w:p w14:paraId="758CD513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21784</w:t>
            </w:r>
          </w:p>
        </w:tc>
        <w:tc>
          <w:tcPr>
            <w:tcW w:w="776" w:type="pct"/>
            <w:tcBorders>
              <w:top w:val="single" w:sz="4" w:space="0" w:color="auto"/>
            </w:tcBorders>
            <w:vAlign w:val="center"/>
          </w:tcPr>
          <w:p w14:paraId="36D723DA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21045</w:t>
            </w:r>
          </w:p>
        </w:tc>
        <w:tc>
          <w:tcPr>
            <w:tcW w:w="724" w:type="pct"/>
            <w:tcBorders>
              <w:top w:val="single" w:sz="4" w:space="0" w:color="auto"/>
            </w:tcBorders>
            <w:vAlign w:val="center"/>
          </w:tcPr>
          <w:p w14:paraId="76873609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15099</w:t>
            </w:r>
          </w:p>
        </w:tc>
        <w:tc>
          <w:tcPr>
            <w:tcW w:w="724" w:type="pct"/>
            <w:tcBorders>
              <w:top w:val="single" w:sz="4" w:space="0" w:color="auto"/>
            </w:tcBorders>
            <w:vAlign w:val="center"/>
          </w:tcPr>
          <w:p w14:paraId="3C31014A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15559</w:t>
            </w:r>
          </w:p>
        </w:tc>
        <w:tc>
          <w:tcPr>
            <w:tcW w:w="725" w:type="pct"/>
            <w:tcBorders>
              <w:top w:val="single" w:sz="4" w:space="0" w:color="auto"/>
            </w:tcBorders>
            <w:vAlign w:val="center"/>
          </w:tcPr>
          <w:p w14:paraId="3F0B3DD6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14766</w:t>
            </w:r>
          </w:p>
        </w:tc>
      </w:tr>
      <w:tr w:rsidR="003508B4" w14:paraId="25076E42" w14:textId="77777777" w:rsidTr="00003397">
        <w:trPr>
          <w:jc w:val="center"/>
        </w:trPr>
        <w:tc>
          <w:tcPr>
            <w:tcW w:w="556" w:type="pct"/>
            <w:vAlign w:val="center"/>
          </w:tcPr>
          <w:p w14:paraId="75CD774E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0</w:t>
            </w:r>
          </w:p>
        </w:tc>
        <w:tc>
          <w:tcPr>
            <w:tcW w:w="716" w:type="pct"/>
            <w:vAlign w:val="center"/>
          </w:tcPr>
          <w:p w14:paraId="6666DD3A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5905</w:t>
            </w:r>
          </w:p>
          <w:p w14:paraId="1341D782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(58.42%)</w:t>
            </w:r>
          </w:p>
        </w:tc>
        <w:tc>
          <w:tcPr>
            <w:tcW w:w="776" w:type="pct"/>
            <w:vAlign w:val="center"/>
          </w:tcPr>
          <w:p w14:paraId="5FF55D1B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14447</w:t>
            </w:r>
          </w:p>
          <w:p w14:paraId="6301CE91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(66.32%)</w:t>
            </w:r>
          </w:p>
        </w:tc>
        <w:tc>
          <w:tcPr>
            <w:tcW w:w="776" w:type="pct"/>
            <w:vAlign w:val="center"/>
          </w:tcPr>
          <w:p w14:paraId="575E70E2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14677</w:t>
            </w:r>
          </w:p>
          <w:p w14:paraId="5D1D70A1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(69.74%)</w:t>
            </w:r>
          </w:p>
        </w:tc>
        <w:tc>
          <w:tcPr>
            <w:tcW w:w="724" w:type="pct"/>
            <w:vAlign w:val="center"/>
          </w:tcPr>
          <w:p w14:paraId="4D76CB38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168</w:t>
            </w:r>
          </w:p>
          <w:p w14:paraId="615F1169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(1.11%)</w:t>
            </w:r>
          </w:p>
        </w:tc>
        <w:tc>
          <w:tcPr>
            <w:tcW w:w="724" w:type="pct"/>
            <w:vAlign w:val="center"/>
          </w:tcPr>
          <w:p w14:paraId="172BE2D5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256</w:t>
            </w:r>
          </w:p>
          <w:p w14:paraId="09A9B842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(1.65%)</w:t>
            </w:r>
          </w:p>
        </w:tc>
        <w:tc>
          <w:tcPr>
            <w:tcW w:w="725" w:type="pct"/>
            <w:vAlign w:val="center"/>
          </w:tcPr>
          <w:p w14:paraId="4F0E7C44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402</w:t>
            </w:r>
          </w:p>
          <w:p w14:paraId="79C210B2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(2.72%)</w:t>
            </w:r>
          </w:p>
        </w:tc>
      </w:tr>
      <w:tr w:rsidR="003508B4" w14:paraId="4F51CE4D" w14:textId="77777777" w:rsidTr="00003397">
        <w:trPr>
          <w:jc w:val="center"/>
        </w:trPr>
        <w:tc>
          <w:tcPr>
            <w:tcW w:w="556" w:type="pct"/>
            <w:vAlign w:val="center"/>
          </w:tcPr>
          <w:p w14:paraId="291D9B8A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</w:t>
            </w:r>
          </w:p>
        </w:tc>
        <w:tc>
          <w:tcPr>
            <w:tcW w:w="716" w:type="pct"/>
            <w:vAlign w:val="center"/>
          </w:tcPr>
          <w:p w14:paraId="6FE4D47F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124</w:t>
            </w:r>
          </w:p>
          <w:p w14:paraId="38B90466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(1.23%)</w:t>
            </w:r>
          </w:p>
        </w:tc>
        <w:tc>
          <w:tcPr>
            <w:tcW w:w="776" w:type="pct"/>
            <w:vAlign w:val="center"/>
          </w:tcPr>
          <w:p w14:paraId="2CEA8510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195</w:t>
            </w:r>
          </w:p>
          <w:p w14:paraId="3BFF7FA5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(0.90%)</w:t>
            </w:r>
          </w:p>
        </w:tc>
        <w:tc>
          <w:tcPr>
            <w:tcW w:w="776" w:type="pct"/>
            <w:vAlign w:val="center"/>
          </w:tcPr>
          <w:p w14:paraId="53D0A5B2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441</w:t>
            </w:r>
          </w:p>
          <w:p w14:paraId="067185D1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(2.10%)</w:t>
            </w:r>
          </w:p>
        </w:tc>
        <w:tc>
          <w:tcPr>
            <w:tcW w:w="724" w:type="pct"/>
            <w:vAlign w:val="center"/>
          </w:tcPr>
          <w:p w14:paraId="4C2768D5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9429</w:t>
            </w:r>
          </w:p>
          <w:p w14:paraId="1EED9F47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(62.45%)</w:t>
            </w:r>
          </w:p>
        </w:tc>
        <w:tc>
          <w:tcPr>
            <w:tcW w:w="724" w:type="pct"/>
            <w:vAlign w:val="center"/>
          </w:tcPr>
          <w:p w14:paraId="1D042FDA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9782</w:t>
            </w:r>
          </w:p>
          <w:p w14:paraId="44AC757E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(62.87%)</w:t>
            </w:r>
          </w:p>
        </w:tc>
        <w:tc>
          <w:tcPr>
            <w:tcW w:w="725" w:type="pct"/>
            <w:vAlign w:val="center"/>
          </w:tcPr>
          <w:p w14:paraId="27243E90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9610</w:t>
            </w:r>
          </w:p>
          <w:p w14:paraId="3480E158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(65.08%)</w:t>
            </w:r>
          </w:p>
        </w:tc>
      </w:tr>
      <w:tr w:rsidR="003508B4" w14:paraId="06447552" w14:textId="77777777" w:rsidTr="00003397">
        <w:trPr>
          <w:jc w:val="center"/>
        </w:trPr>
        <w:tc>
          <w:tcPr>
            <w:tcW w:w="556" w:type="pct"/>
            <w:vAlign w:val="center"/>
          </w:tcPr>
          <w:p w14:paraId="106437F1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</w:tc>
        <w:tc>
          <w:tcPr>
            <w:tcW w:w="716" w:type="pct"/>
            <w:vAlign w:val="center"/>
          </w:tcPr>
          <w:p w14:paraId="6FC2D577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2498</w:t>
            </w:r>
          </w:p>
          <w:p w14:paraId="208429EC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(24.71%)</w:t>
            </w:r>
          </w:p>
        </w:tc>
        <w:tc>
          <w:tcPr>
            <w:tcW w:w="776" w:type="pct"/>
            <w:vAlign w:val="center"/>
          </w:tcPr>
          <w:p w14:paraId="09490799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4745</w:t>
            </w:r>
          </w:p>
          <w:p w14:paraId="51B52949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(21.78%)</w:t>
            </w:r>
          </w:p>
        </w:tc>
        <w:tc>
          <w:tcPr>
            <w:tcW w:w="776" w:type="pct"/>
            <w:vAlign w:val="center"/>
          </w:tcPr>
          <w:p w14:paraId="2DFDB1E8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3844</w:t>
            </w:r>
          </w:p>
          <w:p w14:paraId="789EE9B2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(18.27%)</w:t>
            </w:r>
          </w:p>
        </w:tc>
        <w:tc>
          <w:tcPr>
            <w:tcW w:w="724" w:type="pct"/>
            <w:vAlign w:val="center"/>
          </w:tcPr>
          <w:p w14:paraId="03783865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139</w:t>
            </w:r>
          </w:p>
          <w:p w14:paraId="36182F5E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(0.92%)</w:t>
            </w:r>
          </w:p>
        </w:tc>
        <w:tc>
          <w:tcPr>
            <w:tcW w:w="724" w:type="pct"/>
            <w:vAlign w:val="center"/>
          </w:tcPr>
          <w:p w14:paraId="58DDF739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163</w:t>
            </w:r>
          </w:p>
          <w:p w14:paraId="566229E3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(1.05%)</w:t>
            </w:r>
          </w:p>
        </w:tc>
        <w:tc>
          <w:tcPr>
            <w:tcW w:w="725" w:type="pct"/>
            <w:vAlign w:val="center"/>
          </w:tcPr>
          <w:p w14:paraId="0EEDBDB0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182</w:t>
            </w:r>
          </w:p>
          <w:p w14:paraId="5192C2B5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(1.23%)</w:t>
            </w:r>
          </w:p>
        </w:tc>
      </w:tr>
      <w:tr w:rsidR="003508B4" w14:paraId="4AC18101" w14:textId="77777777" w:rsidTr="00003397">
        <w:trPr>
          <w:jc w:val="center"/>
        </w:trPr>
        <w:tc>
          <w:tcPr>
            <w:tcW w:w="556" w:type="pct"/>
            <w:vAlign w:val="center"/>
          </w:tcPr>
          <w:p w14:paraId="0B557CEB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3</w:t>
            </w:r>
          </w:p>
        </w:tc>
        <w:tc>
          <w:tcPr>
            <w:tcW w:w="716" w:type="pct"/>
            <w:vAlign w:val="center"/>
          </w:tcPr>
          <w:p w14:paraId="69A60AB3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61</w:t>
            </w:r>
          </w:p>
          <w:p w14:paraId="21F5723C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(0.60%)</w:t>
            </w:r>
          </w:p>
        </w:tc>
        <w:tc>
          <w:tcPr>
            <w:tcW w:w="776" w:type="pct"/>
            <w:vAlign w:val="center"/>
          </w:tcPr>
          <w:p w14:paraId="602C2F47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80</w:t>
            </w:r>
          </w:p>
          <w:p w14:paraId="1A1E9B93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(0.37%)</w:t>
            </w:r>
          </w:p>
        </w:tc>
        <w:tc>
          <w:tcPr>
            <w:tcW w:w="776" w:type="pct"/>
            <w:vAlign w:val="center"/>
          </w:tcPr>
          <w:p w14:paraId="234315A5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160</w:t>
            </w:r>
          </w:p>
          <w:p w14:paraId="5FA21A1B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(0.76%)</w:t>
            </w:r>
          </w:p>
        </w:tc>
        <w:tc>
          <w:tcPr>
            <w:tcW w:w="724" w:type="pct"/>
            <w:vAlign w:val="center"/>
          </w:tcPr>
          <w:p w14:paraId="68D05C5E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3479</w:t>
            </w:r>
          </w:p>
          <w:p w14:paraId="1C7464D5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(23.04%)</w:t>
            </w:r>
          </w:p>
        </w:tc>
        <w:tc>
          <w:tcPr>
            <w:tcW w:w="724" w:type="pct"/>
            <w:vAlign w:val="center"/>
          </w:tcPr>
          <w:p w14:paraId="384CFB53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3884</w:t>
            </w:r>
          </w:p>
          <w:p w14:paraId="7C525E9D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(24.96%)</w:t>
            </w:r>
          </w:p>
        </w:tc>
        <w:tc>
          <w:tcPr>
            <w:tcW w:w="725" w:type="pct"/>
            <w:vAlign w:val="center"/>
          </w:tcPr>
          <w:p w14:paraId="7F04A777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3754</w:t>
            </w:r>
          </w:p>
          <w:p w14:paraId="709978F0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(25.42%)</w:t>
            </w:r>
          </w:p>
        </w:tc>
      </w:tr>
      <w:tr w:rsidR="003508B4" w14:paraId="6F5F5095" w14:textId="77777777" w:rsidTr="00003397">
        <w:trPr>
          <w:jc w:val="center"/>
        </w:trPr>
        <w:tc>
          <w:tcPr>
            <w:tcW w:w="556" w:type="pct"/>
            <w:vAlign w:val="center"/>
          </w:tcPr>
          <w:p w14:paraId="7C7ED9E7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4</w:t>
            </w:r>
          </w:p>
        </w:tc>
        <w:tc>
          <w:tcPr>
            <w:tcW w:w="716" w:type="pct"/>
            <w:vAlign w:val="center"/>
          </w:tcPr>
          <w:p w14:paraId="297A6B41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1389</w:t>
            </w:r>
          </w:p>
          <w:p w14:paraId="58716BA9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(13.74%)</w:t>
            </w:r>
          </w:p>
        </w:tc>
        <w:tc>
          <w:tcPr>
            <w:tcW w:w="776" w:type="pct"/>
            <w:vAlign w:val="center"/>
          </w:tcPr>
          <w:p w14:paraId="123C2470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1970</w:t>
            </w:r>
          </w:p>
          <w:p w14:paraId="284EA1B3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(9.04%)</w:t>
            </w:r>
          </w:p>
        </w:tc>
        <w:tc>
          <w:tcPr>
            <w:tcW w:w="776" w:type="pct"/>
            <w:vAlign w:val="center"/>
          </w:tcPr>
          <w:p w14:paraId="6B9E0EAA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1664</w:t>
            </w:r>
          </w:p>
          <w:p w14:paraId="29A58A44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(7.91%)</w:t>
            </w:r>
          </w:p>
        </w:tc>
        <w:tc>
          <w:tcPr>
            <w:tcW w:w="724" w:type="pct"/>
            <w:vAlign w:val="center"/>
          </w:tcPr>
          <w:p w14:paraId="4EB62BF1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1372</w:t>
            </w:r>
          </w:p>
          <w:p w14:paraId="3DC0A334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(9.09%)</w:t>
            </w:r>
          </w:p>
        </w:tc>
        <w:tc>
          <w:tcPr>
            <w:tcW w:w="724" w:type="pct"/>
            <w:vAlign w:val="center"/>
          </w:tcPr>
          <w:p w14:paraId="2241D5E3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1124</w:t>
            </w:r>
          </w:p>
          <w:p w14:paraId="52B730B1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(7.22%)</w:t>
            </w:r>
          </w:p>
        </w:tc>
        <w:tc>
          <w:tcPr>
            <w:tcW w:w="725" w:type="pct"/>
            <w:vAlign w:val="center"/>
          </w:tcPr>
          <w:p w14:paraId="58D3DE3A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803</w:t>
            </w:r>
          </w:p>
          <w:p w14:paraId="53012E70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(5.44%)</w:t>
            </w:r>
          </w:p>
        </w:tc>
      </w:tr>
      <w:tr w:rsidR="003508B4" w14:paraId="7D2C759D" w14:textId="77777777" w:rsidTr="00003397">
        <w:trPr>
          <w:jc w:val="center"/>
        </w:trPr>
        <w:tc>
          <w:tcPr>
            <w:tcW w:w="556" w:type="pct"/>
            <w:vAlign w:val="center"/>
          </w:tcPr>
          <w:p w14:paraId="36A3526D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5</w:t>
            </w:r>
          </w:p>
        </w:tc>
        <w:tc>
          <w:tcPr>
            <w:tcW w:w="716" w:type="pct"/>
            <w:vAlign w:val="center"/>
          </w:tcPr>
          <w:p w14:paraId="329DE176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0</w:t>
            </w:r>
          </w:p>
          <w:p w14:paraId="6DDF38BE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(0.00%)</w:t>
            </w:r>
          </w:p>
        </w:tc>
        <w:tc>
          <w:tcPr>
            <w:tcW w:w="776" w:type="pct"/>
            <w:vAlign w:val="center"/>
          </w:tcPr>
          <w:p w14:paraId="2790B8CD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2</w:t>
            </w:r>
          </w:p>
          <w:p w14:paraId="760E59F9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(0.01%)</w:t>
            </w:r>
          </w:p>
        </w:tc>
        <w:tc>
          <w:tcPr>
            <w:tcW w:w="776" w:type="pct"/>
            <w:vAlign w:val="center"/>
          </w:tcPr>
          <w:p w14:paraId="1F9EACEE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16</w:t>
            </w:r>
          </w:p>
          <w:p w14:paraId="255CE986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(0.08%)</w:t>
            </w:r>
          </w:p>
        </w:tc>
        <w:tc>
          <w:tcPr>
            <w:tcW w:w="724" w:type="pct"/>
            <w:vAlign w:val="center"/>
          </w:tcPr>
          <w:p w14:paraId="787782F5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506</w:t>
            </w:r>
          </w:p>
          <w:p w14:paraId="1BE7E392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(3.35%)</w:t>
            </w:r>
          </w:p>
        </w:tc>
        <w:tc>
          <w:tcPr>
            <w:tcW w:w="724" w:type="pct"/>
            <w:vAlign w:val="center"/>
          </w:tcPr>
          <w:p w14:paraId="2A12278A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341</w:t>
            </w:r>
          </w:p>
          <w:p w14:paraId="1583A843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(2.19%)</w:t>
            </w:r>
          </w:p>
        </w:tc>
        <w:tc>
          <w:tcPr>
            <w:tcW w:w="725" w:type="pct"/>
            <w:vAlign w:val="center"/>
          </w:tcPr>
          <w:p w14:paraId="76DABE9F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8</w:t>
            </w:r>
          </w:p>
          <w:p w14:paraId="40CFC103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(0.05%)</w:t>
            </w:r>
          </w:p>
        </w:tc>
      </w:tr>
      <w:tr w:rsidR="003508B4" w14:paraId="0C956787" w14:textId="77777777" w:rsidTr="00003397">
        <w:trPr>
          <w:jc w:val="center"/>
        </w:trPr>
        <w:tc>
          <w:tcPr>
            <w:tcW w:w="556" w:type="pct"/>
            <w:vAlign w:val="center"/>
          </w:tcPr>
          <w:p w14:paraId="2DA90CF6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</w:tc>
        <w:tc>
          <w:tcPr>
            <w:tcW w:w="716" w:type="pct"/>
            <w:vAlign w:val="center"/>
          </w:tcPr>
          <w:p w14:paraId="4962F5D6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131</w:t>
            </w:r>
          </w:p>
          <w:p w14:paraId="747DDC9E" w14:textId="77777777" w:rsidR="003508B4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(1.30%)</w:t>
            </w:r>
          </w:p>
        </w:tc>
        <w:tc>
          <w:tcPr>
            <w:tcW w:w="776" w:type="pct"/>
            <w:vAlign w:val="center"/>
          </w:tcPr>
          <w:p w14:paraId="1B859D5A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345</w:t>
            </w:r>
          </w:p>
          <w:p w14:paraId="6FF23439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(1.58%)</w:t>
            </w:r>
          </w:p>
        </w:tc>
        <w:tc>
          <w:tcPr>
            <w:tcW w:w="776" w:type="pct"/>
            <w:vAlign w:val="center"/>
          </w:tcPr>
          <w:p w14:paraId="39CA6731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243</w:t>
            </w:r>
          </w:p>
          <w:p w14:paraId="24E59FA4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(1.15%)</w:t>
            </w:r>
          </w:p>
        </w:tc>
        <w:tc>
          <w:tcPr>
            <w:tcW w:w="724" w:type="pct"/>
            <w:vAlign w:val="center"/>
          </w:tcPr>
          <w:p w14:paraId="182A0C14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6</w:t>
            </w:r>
          </w:p>
          <w:p w14:paraId="201E2945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(0.04%)</w:t>
            </w:r>
          </w:p>
        </w:tc>
        <w:tc>
          <w:tcPr>
            <w:tcW w:w="724" w:type="pct"/>
            <w:vAlign w:val="center"/>
          </w:tcPr>
          <w:p w14:paraId="4021F2EA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9</w:t>
            </w:r>
          </w:p>
          <w:p w14:paraId="7170D358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(0.06%)</w:t>
            </w:r>
          </w:p>
        </w:tc>
        <w:tc>
          <w:tcPr>
            <w:tcW w:w="725" w:type="pct"/>
            <w:vAlign w:val="center"/>
          </w:tcPr>
          <w:p w14:paraId="1068DD18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7</w:t>
            </w:r>
          </w:p>
          <w:p w14:paraId="21F69A97" w14:textId="77777777" w:rsidR="003508B4" w:rsidRDefault="00000000" w:rsidP="00003397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(0.05%)</w:t>
            </w:r>
          </w:p>
        </w:tc>
      </w:tr>
    </w:tbl>
    <w:p w14:paraId="5AB16342" w14:textId="77777777" w:rsidR="003508B4" w:rsidRDefault="003508B4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p w14:paraId="6239C42D" w14:textId="77777777" w:rsidR="003508B4" w:rsidRPr="00003397" w:rsidRDefault="00000000">
      <w:pPr>
        <w:numPr>
          <w:ilvl w:val="255"/>
          <w:numId w:val="0"/>
        </w:numPr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/>
          <w:color w:val="000000"/>
          <w:szCs w:val="21"/>
          <w:lang w:bidi="ar"/>
        </w:rPr>
        <w:t>Table S2. Functional subpopulation proportion distribution across all biological replicates.</w:t>
      </w:r>
    </w:p>
    <w:p w14:paraId="5D27CD16" w14:textId="77777777" w:rsidR="003508B4" w:rsidRPr="00003397" w:rsidRDefault="00000000">
      <w:pPr>
        <w:numPr>
          <w:ilvl w:val="255"/>
          <w:numId w:val="0"/>
        </w:numPr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</w:pP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Statistics of cell counts and proportions of the three annotated functional subpopulations (MSC_1/2/3) in each biological replicate, demonstrating the consistent subpopulation remodeling effect induced by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: the proportion of the metabolically active MSC_1 subpopulation increased from ~10% in the untreated MSC group to ~75% in the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leonurine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-treated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group; the proportion of the quiescent MSC_2 subpopulation decreased from ~90% in the MSC group to &lt;3% in the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group; meanwhile, the proportion of the highly proliferative MSC_3 subpopulation also exhibited a consistent expansion trend, rising from ~1% in the MSC group to ~20% in the </w:t>
      </w:r>
      <w:proofErr w:type="spellStart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>MSC</w:t>
      </w:r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vertAlign w:val="superscript"/>
          <w:lang w:bidi="ar"/>
        </w:rPr>
        <w:t>Leo</w:t>
      </w:r>
      <w:proofErr w:type="spellEnd"/>
      <w:r w:rsidRPr="00003397">
        <w:rPr>
          <w:rFonts w:ascii="Times New Roman" w:eastAsia="宋体" w:hAnsi="Times New Roman" w:cs="Times New Roman" w:hint="eastAsia"/>
          <w:bCs/>
          <w:color w:val="000000"/>
          <w:szCs w:val="21"/>
          <w:lang w:bidi="ar"/>
        </w:rPr>
        <w:t xml:space="preserve"> group across all replicates.</w:t>
      </w:r>
    </w:p>
    <w:p w14:paraId="5AF39D8E" w14:textId="77777777" w:rsidR="003508B4" w:rsidRDefault="003508B4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tbl>
      <w:tblPr>
        <w:tblW w:w="6720" w:type="dxa"/>
        <w:jc w:val="center"/>
        <w:tblBorders>
          <w:bottom w:val="single" w:sz="4" w:space="0" w:color="auto"/>
        </w:tblBorders>
        <w:tblLook w:val="04A0" w:firstRow="1" w:lastRow="0" w:firstColumn="1" w:lastColumn="0" w:noHBand="0" w:noVBand="1"/>
      </w:tblPr>
      <w:tblGrid>
        <w:gridCol w:w="1348"/>
        <w:gridCol w:w="896"/>
        <w:gridCol w:w="896"/>
        <w:gridCol w:w="895"/>
        <w:gridCol w:w="895"/>
        <w:gridCol w:w="895"/>
        <w:gridCol w:w="895"/>
      </w:tblGrid>
      <w:tr w:rsidR="003508B4" w14:paraId="1AC7F531" w14:textId="77777777" w:rsidTr="00003397">
        <w:trPr>
          <w:trHeight w:val="340"/>
          <w:jc w:val="center"/>
        </w:trPr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4EF04540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S</w:t>
            </w:r>
            <w:r w:rsidRPr="00003397">
              <w:rPr>
                <w:rFonts w:ascii="Times New Roman Bold" w:eastAsia="Times New Roman Bold" w:hAnsi="Times New Roman Bold" w:cs="Times New Roman Bold" w:hint="eastAsia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ubpopulation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729D7AF8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  <w:vertAlign w:val="superscript"/>
              </w:rPr>
              <w:t>leo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-1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E836A51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  <w:vertAlign w:val="superscript"/>
              </w:rPr>
              <w:t>leo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-2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2926065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  <w:vertAlign w:val="superscript"/>
              </w:rPr>
              <w:t>leo</w:t>
            </w: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-3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488DAA9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MSC-1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1394251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MSC-2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B1C464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Bold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>
              <w:rPr>
                <w:rFonts w:ascii="Times New Roman Bold" w:eastAsia="宋体" w:hAnsi="Times New Roman Bold" w:cs="Times New Roman Bold" w:hint="eastAsia"/>
                <w:b/>
                <w:bCs/>
                <w:color w:val="000000"/>
                <w:sz w:val="18"/>
                <w:szCs w:val="18"/>
              </w:rPr>
              <w:t>MSC-3</w:t>
            </w:r>
          </w:p>
        </w:tc>
      </w:tr>
      <w:tr w:rsidR="003508B4" w14:paraId="0A1FE931" w14:textId="77777777" w:rsidTr="00003397">
        <w:trPr>
          <w:trHeight w:val="340"/>
          <w:jc w:val="center"/>
        </w:trPr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04161502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MSC_1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E30B266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7425</w:t>
            </w:r>
          </w:p>
          <w:p w14:paraId="0D38CBE3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宋体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Times New Roman Regular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73.46%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56F27092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16762</w:t>
            </w:r>
          </w:p>
          <w:p w14:paraId="2DD57837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宋体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76.95%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7171B463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16584</w:t>
            </w:r>
          </w:p>
          <w:p w14:paraId="32223513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78.80%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655ADE29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1546</w:t>
            </w:r>
          </w:p>
          <w:p w14:paraId="6A09B6F0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10.24%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1BC128C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1389</w:t>
            </w:r>
          </w:p>
          <w:p w14:paraId="772033E9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8.93%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2974748C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1212</w:t>
            </w:r>
          </w:p>
          <w:p w14:paraId="73A7DEEC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8.21%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3508B4" w14:paraId="64F2443C" w14:textId="77777777" w:rsidTr="00003397">
        <w:trPr>
          <w:trHeight w:val="34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41AE2F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MSC_2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C3E916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185</w:t>
            </w:r>
          </w:p>
          <w:p w14:paraId="4DD1CAAE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1.83%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595F50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277</w:t>
            </w:r>
          </w:p>
          <w:p w14:paraId="73AA3B54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1.27%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B2F95A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617</w:t>
            </w:r>
          </w:p>
          <w:p w14:paraId="4114EB01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2.93%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886220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13414</w:t>
            </w:r>
          </w:p>
          <w:p w14:paraId="3D293A85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88.84%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B6D26F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14007</w:t>
            </w:r>
          </w:p>
          <w:p w14:paraId="0DB3EF87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90.03%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F8C39E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13372</w:t>
            </w:r>
          </w:p>
          <w:p w14:paraId="4475595E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90.56%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3508B4" w14:paraId="49A698AA" w14:textId="77777777" w:rsidTr="00003397">
        <w:trPr>
          <w:trHeight w:val="340"/>
          <w:jc w:val="center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D30B0E0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sz w:val="18"/>
                <w:szCs w:val="18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MSC_3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FE5D9D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2498</w:t>
            </w:r>
          </w:p>
          <w:p w14:paraId="2C5A1A84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24.71%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B80290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4745</w:t>
            </w:r>
          </w:p>
          <w:p w14:paraId="0947022B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21.78%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2AD369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3844</w:t>
            </w:r>
          </w:p>
          <w:p w14:paraId="79FD27ED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18.27%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F1A58E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139</w:t>
            </w:r>
          </w:p>
          <w:p w14:paraId="74693F87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0.92%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4B7237F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163</w:t>
            </w:r>
          </w:p>
          <w:p w14:paraId="00D95F96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1.05%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E34A38F" w14:textId="77777777" w:rsidR="003508B4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 w:rsidRPr="00003397"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  <w:t>182</w:t>
            </w:r>
          </w:p>
          <w:p w14:paraId="347362EB" w14:textId="77777777" w:rsidR="003508B4" w:rsidRPr="00003397" w:rsidRDefault="00000000">
            <w:pPr>
              <w:widowControl/>
              <w:jc w:val="center"/>
              <w:textAlignment w:val="center"/>
              <w:rPr>
                <w:rFonts w:ascii="Times New Roman Regular" w:eastAsia="Times New Roman Regular" w:hAnsi="Times New Roman Regular" w:cs="Times New Roman Regular"/>
                <w:color w:val="000000"/>
                <w:kern w:val="0"/>
                <w:sz w:val="18"/>
                <w:szCs w:val="18"/>
                <w:lang w:bidi="ar"/>
              </w:rPr>
            </w:pP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(</w:t>
            </w:r>
            <w:r w:rsidRPr="00003397"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1.23%</w:t>
            </w:r>
            <w:r>
              <w:rPr>
                <w:rFonts w:ascii="Times New Roman Regular" w:eastAsia="宋体" w:hAnsi="Times New Roman Regular" w:cs="Times New Roman Regular" w:hint="eastAsia"/>
                <w:color w:val="000000"/>
                <w:kern w:val="0"/>
                <w:sz w:val="18"/>
                <w:szCs w:val="18"/>
                <w:lang w:bidi="ar"/>
              </w:rPr>
              <w:t>)</w:t>
            </w:r>
          </w:p>
        </w:tc>
      </w:tr>
      <w:tr w:rsidR="003508B4" w14:paraId="1FD23681" w14:textId="77777777">
        <w:trPr>
          <w:trHeight w:val="340"/>
          <w:jc w:val="center"/>
        </w:trPr>
        <w:tc>
          <w:tcPr>
            <w:tcW w:w="960" w:type="dxa"/>
            <w:tcBorders>
              <w:top w:val="nil"/>
              <w:left w:val="nil"/>
              <w:right w:val="nil"/>
            </w:tcBorders>
            <w:vAlign w:val="center"/>
          </w:tcPr>
          <w:p w14:paraId="173B984D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 w:rsidRPr="00003397"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Total cell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vAlign w:val="center"/>
          </w:tcPr>
          <w:p w14:paraId="644E785E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 w:rsidRPr="00003397"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10108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vAlign w:val="center"/>
          </w:tcPr>
          <w:p w14:paraId="316CA968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 w:rsidRPr="00003397"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21784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vAlign w:val="center"/>
          </w:tcPr>
          <w:p w14:paraId="30ABCCE7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 w:rsidRPr="00003397"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21045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vAlign w:val="center"/>
          </w:tcPr>
          <w:p w14:paraId="49E096C1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 w:rsidRPr="00003397"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15099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vAlign w:val="center"/>
          </w:tcPr>
          <w:p w14:paraId="480445FA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 w:rsidRPr="00003397"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15559</w:t>
            </w:r>
          </w:p>
        </w:tc>
        <w:tc>
          <w:tcPr>
            <w:tcW w:w="960" w:type="dxa"/>
            <w:tcBorders>
              <w:top w:val="nil"/>
              <w:left w:val="nil"/>
              <w:right w:val="nil"/>
            </w:tcBorders>
            <w:vAlign w:val="center"/>
          </w:tcPr>
          <w:p w14:paraId="66FD55D2" w14:textId="77777777" w:rsidR="003508B4" w:rsidRPr="00003397" w:rsidRDefault="00000000">
            <w:pPr>
              <w:keepNext/>
              <w:widowControl/>
              <w:snapToGrid w:val="0"/>
              <w:jc w:val="center"/>
              <w:textAlignment w:val="center"/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sz w:val="18"/>
                <w:szCs w:val="18"/>
              </w:rPr>
            </w:pPr>
            <w:r w:rsidRPr="00003397">
              <w:rPr>
                <w:rFonts w:ascii="Times New Roman Bold" w:eastAsia="Times New Roman Regular" w:hAnsi="Times New Roman Bold" w:cs="Times New Roman Bold"/>
                <w:b/>
                <w:bCs/>
                <w:color w:val="000000"/>
                <w:kern w:val="0"/>
                <w:sz w:val="18"/>
                <w:szCs w:val="18"/>
                <w:lang w:bidi="ar"/>
              </w:rPr>
              <w:t>14766</w:t>
            </w:r>
          </w:p>
        </w:tc>
      </w:tr>
    </w:tbl>
    <w:p w14:paraId="64682F3E" w14:textId="77777777" w:rsidR="003508B4" w:rsidRDefault="003508B4" w:rsidP="00003397">
      <w:pPr>
        <w:numPr>
          <w:ilvl w:val="255"/>
          <w:numId w:val="0"/>
        </w:numPr>
        <w:rPr>
          <w:rFonts w:ascii="Times New Roman" w:eastAsia="宋体" w:hAnsi="Times New Roman" w:cs="Times New Roman"/>
          <w:bCs/>
          <w:color w:val="000000"/>
          <w:szCs w:val="21"/>
          <w:lang w:bidi="ar"/>
        </w:rPr>
      </w:pPr>
    </w:p>
    <w:sectPr w:rsidR="003508B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 Italic">
    <w:panose1 w:val="02020503050405090304"/>
    <w:charset w:val="00"/>
    <w:family w:val="auto"/>
    <w:pitch w:val="default"/>
    <w:sig w:usb0="E0000AFF" w:usb1="00007843" w:usb2="00000001" w:usb3="00000000" w:csb0="400001BF" w:csb1="DFF70000"/>
  </w:font>
  <w:font w:name="Times New Roman Bold">
    <w:panose1 w:val="02020803070505020304"/>
    <w:charset w:val="00"/>
    <w:family w:val="auto"/>
    <w:pitch w:val="default"/>
    <w:sig w:usb0="E0000AFF" w:usb1="00007843" w:usb2="00000001" w:usb3="00000000" w:csb0="400001BF" w:csb1="DFF70000"/>
  </w:font>
  <w:font w:name="Times New Roman Regular">
    <w:altName w:val="Times New Roman"/>
    <w:charset w:val="00"/>
    <w:family w:val="auto"/>
    <w:pitch w:val="default"/>
    <w:sig w:usb0="E0000AFF" w:usb1="00007843" w:usb2="00000001" w:usb3="00000000" w:csb0="400001BF" w:csb1="DFF7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DAFD870C"/>
    <w:multiLevelType w:val="singleLevel"/>
    <w:tmpl w:val="DAFD870C"/>
    <w:lvl w:ilvl="0">
      <w:start w:val="1"/>
      <w:numFmt w:val="decimal"/>
      <w:suff w:val="space"/>
      <w:lvlText w:val="%1."/>
      <w:lvlJc w:val="left"/>
    </w:lvl>
  </w:abstractNum>
  <w:abstractNum w:abstractNumId="1" w15:restartNumberingAfterBreak="0">
    <w:nsid w:val="7EFE88C0"/>
    <w:multiLevelType w:val="singleLevel"/>
    <w:tmpl w:val="7EFE88C0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7F37406A"/>
    <w:multiLevelType w:val="singleLevel"/>
    <w:tmpl w:val="7F37406A"/>
    <w:lvl w:ilvl="0">
      <w:start w:val="1"/>
      <w:numFmt w:val="decimal"/>
      <w:suff w:val="space"/>
      <w:lvlText w:val="%1."/>
      <w:lvlJc w:val="left"/>
    </w:lvl>
  </w:abstractNum>
  <w:num w:numId="1" w16cid:durableId="1248198866">
    <w:abstractNumId w:val="0"/>
  </w:num>
  <w:num w:numId="2" w16cid:durableId="1837450326">
    <w:abstractNumId w:val="2"/>
  </w:num>
  <w:num w:numId="3" w16cid:durableId="81849889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788F"/>
    <w:rsid w:val="00003397"/>
    <w:rsid w:val="0007788F"/>
    <w:rsid w:val="003508B4"/>
    <w:rsid w:val="003D4953"/>
    <w:rsid w:val="003F5592"/>
    <w:rsid w:val="005375F3"/>
    <w:rsid w:val="005C6F3D"/>
    <w:rsid w:val="006B2706"/>
    <w:rsid w:val="00936E32"/>
    <w:rsid w:val="00C2218B"/>
    <w:rsid w:val="00D85002"/>
    <w:rsid w:val="00DA28CF"/>
    <w:rsid w:val="00E54A9B"/>
    <w:rsid w:val="00F72B06"/>
    <w:rsid w:val="06FFA14A"/>
    <w:rsid w:val="082F2B98"/>
    <w:rsid w:val="0AFF3FB7"/>
    <w:rsid w:val="0BC37DE8"/>
    <w:rsid w:val="0BEB3C61"/>
    <w:rsid w:val="0BFE1A33"/>
    <w:rsid w:val="0ECEC743"/>
    <w:rsid w:val="0F57F56A"/>
    <w:rsid w:val="0FDB868B"/>
    <w:rsid w:val="0FE03C65"/>
    <w:rsid w:val="0FFFC747"/>
    <w:rsid w:val="12EF54E7"/>
    <w:rsid w:val="16564B2F"/>
    <w:rsid w:val="16BD5195"/>
    <w:rsid w:val="179CBC92"/>
    <w:rsid w:val="1A6FCF94"/>
    <w:rsid w:val="1BFF9EEE"/>
    <w:rsid w:val="1DCFE017"/>
    <w:rsid w:val="1EEFCCB7"/>
    <w:rsid w:val="1F328970"/>
    <w:rsid w:val="1F3FF599"/>
    <w:rsid w:val="1F756E2C"/>
    <w:rsid w:val="1FBFD340"/>
    <w:rsid w:val="1FDF3ED9"/>
    <w:rsid w:val="1FFB60D8"/>
    <w:rsid w:val="1FFF77B5"/>
    <w:rsid w:val="21FD0062"/>
    <w:rsid w:val="2B21FCF4"/>
    <w:rsid w:val="2EEF663D"/>
    <w:rsid w:val="2EF5FF3D"/>
    <w:rsid w:val="2EF9BAE9"/>
    <w:rsid w:val="2EFE193A"/>
    <w:rsid w:val="2F05B686"/>
    <w:rsid w:val="2FD9171B"/>
    <w:rsid w:val="2FE3B77B"/>
    <w:rsid w:val="2FEF972D"/>
    <w:rsid w:val="317779B4"/>
    <w:rsid w:val="33ED0937"/>
    <w:rsid w:val="352FDDF9"/>
    <w:rsid w:val="363EAFF9"/>
    <w:rsid w:val="374E6B09"/>
    <w:rsid w:val="37693DCC"/>
    <w:rsid w:val="377C8E63"/>
    <w:rsid w:val="377F6E5F"/>
    <w:rsid w:val="37CA2EFE"/>
    <w:rsid w:val="39379985"/>
    <w:rsid w:val="39FA0FD4"/>
    <w:rsid w:val="39FDD0A5"/>
    <w:rsid w:val="39FF6606"/>
    <w:rsid w:val="3AFF1737"/>
    <w:rsid w:val="3B7D98D2"/>
    <w:rsid w:val="3C7731A0"/>
    <w:rsid w:val="3D450F05"/>
    <w:rsid w:val="3DF72EC7"/>
    <w:rsid w:val="3EBF6774"/>
    <w:rsid w:val="3EDD51E3"/>
    <w:rsid w:val="3EE62FAD"/>
    <w:rsid w:val="3EFF0BE6"/>
    <w:rsid w:val="3F2FC7E3"/>
    <w:rsid w:val="3F3EBCAD"/>
    <w:rsid w:val="3F5EB030"/>
    <w:rsid w:val="3F7F9FE8"/>
    <w:rsid w:val="3FD0B7A7"/>
    <w:rsid w:val="3FE179E3"/>
    <w:rsid w:val="3FECD1D1"/>
    <w:rsid w:val="3FEF7738"/>
    <w:rsid w:val="3FEF97E0"/>
    <w:rsid w:val="3FF0CFD3"/>
    <w:rsid w:val="3FF1C651"/>
    <w:rsid w:val="3FF2E6FE"/>
    <w:rsid w:val="3FF3A88E"/>
    <w:rsid w:val="3FFDA6E9"/>
    <w:rsid w:val="43676F96"/>
    <w:rsid w:val="49BFFE47"/>
    <w:rsid w:val="4BEB9DE5"/>
    <w:rsid w:val="4BEBA548"/>
    <w:rsid w:val="4BFB0A3C"/>
    <w:rsid w:val="4DEED95B"/>
    <w:rsid w:val="4E666F6B"/>
    <w:rsid w:val="4ED32866"/>
    <w:rsid w:val="4EE216C5"/>
    <w:rsid w:val="4F398C94"/>
    <w:rsid w:val="4F7083B9"/>
    <w:rsid w:val="4F7D9BAC"/>
    <w:rsid w:val="4F7EFADB"/>
    <w:rsid w:val="4FAD7A68"/>
    <w:rsid w:val="4FAFE953"/>
    <w:rsid w:val="55DF56D7"/>
    <w:rsid w:val="55FF4011"/>
    <w:rsid w:val="5677E63A"/>
    <w:rsid w:val="5693A94A"/>
    <w:rsid w:val="56FF2B53"/>
    <w:rsid w:val="577D72B3"/>
    <w:rsid w:val="57B71B30"/>
    <w:rsid w:val="57C892BF"/>
    <w:rsid w:val="57F116F1"/>
    <w:rsid w:val="5A5E17E3"/>
    <w:rsid w:val="5B7D399F"/>
    <w:rsid w:val="5B9A4F16"/>
    <w:rsid w:val="5BCFB1FF"/>
    <w:rsid w:val="5E5F7AD4"/>
    <w:rsid w:val="5E7BC375"/>
    <w:rsid w:val="5E7CB9C1"/>
    <w:rsid w:val="5EFF619C"/>
    <w:rsid w:val="5F372DAB"/>
    <w:rsid w:val="5F3E2ABD"/>
    <w:rsid w:val="5F4544A2"/>
    <w:rsid w:val="5F4EEDA9"/>
    <w:rsid w:val="5F6BA723"/>
    <w:rsid w:val="5F77C9A0"/>
    <w:rsid w:val="5F794CC2"/>
    <w:rsid w:val="5F942F44"/>
    <w:rsid w:val="5FDE3EAF"/>
    <w:rsid w:val="5FDF2884"/>
    <w:rsid w:val="5FE909F6"/>
    <w:rsid w:val="5FF7CB9F"/>
    <w:rsid w:val="5FFD0A1E"/>
    <w:rsid w:val="5FFFF0E5"/>
    <w:rsid w:val="62AFAB4F"/>
    <w:rsid w:val="63FADB0C"/>
    <w:rsid w:val="647FD477"/>
    <w:rsid w:val="65AACC43"/>
    <w:rsid w:val="65FFCDEC"/>
    <w:rsid w:val="667ED54E"/>
    <w:rsid w:val="66FF35AE"/>
    <w:rsid w:val="67755369"/>
    <w:rsid w:val="6A7DFC8B"/>
    <w:rsid w:val="6ADBE83A"/>
    <w:rsid w:val="6BEA7E59"/>
    <w:rsid w:val="6BFB9EFE"/>
    <w:rsid w:val="6C7F73FE"/>
    <w:rsid w:val="6CFF57A0"/>
    <w:rsid w:val="6D937748"/>
    <w:rsid w:val="6DFB6CDE"/>
    <w:rsid w:val="6EB5F5D8"/>
    <w:rsid w:val="6EB735EB"/>
    <w:rsid w:val="6EDFE3CF"/>
    <w:rsid w:val="6EF9E979"/>
    <w:rsid w:val="6EFD1990"/>
    <w:rsid w:val="6EFE0411"/>
    <w:rsid w:val="6F7F0315"/>
    <w:rsid w:val="6FBE1055"/>
    <w:rsid w:val="6FBEE3AB"/>
    <w:rsid w:val="6FBF68B1"/>
    <w:rsid w:val="6FC16D57"/>
    <w:rsid w:val="6FCB209A"/>
    <w:rsid w:val="6FD5B459"/>
    <w:rsid w:val="6FDD3F1E"/>
    <w:rsid w:val="6FEE3981"/>
    <w:rsid w:val="6FEE505E"/>
    <w:rsid w:val="6FFF7513"/>
    <w:rsid w:val="704E1DB1"/>
    <w:rsid w:val="71FBDDE2"/>
    <w:rsid w:val="72F7B5E3"/>
    <w:rsid w:val="732DECFA"/>
    <w:rsid w:val="737E3BAB"/>
    <w:rsid w:val="73AFCB90"/>
    <w:rsid w:val="73DC7643"/>
    <w:rsid w:val="73FB09F6"/>
    <w:rsid w:val="73FBFECF"/>
    <w:rsid w:val="73FF8B03"/>
    <w:rsid w:val="73FFC324"/>
    <w:rsid w:val="74FF3453"/>
    <w:rsid w:val="7567239E"/>
    <w:rsid w:val="767F2F7C"/>
    <w:rsid w:val="76B7B067"/>
    <w:rsid w:val="76D724EF"/>
    <w:rsid w:val="76FFFE93"/>
    <w:rsid w:val="772EF84F"/>
    <w:rsid w:val="773F822D"/>
    <w:rsid w:val="775F18FE"/>
    <w:rsid w:val="775FC991"/>
    <w:rsid w:val="776B63A9"/>
    <w:rsid w:val="7777A28B"/>
    <w:rsid w:val="7777EBE5"/>
    <w:rsid w:val="77BA54E3"/>
    <w:rsid w:val="77D1459C"/>
    <w:rsid w:val="77D708A4"/>
    <w:rsid w:val="77DBC6EF"/>
    <w:rsid w:val="77E50EAF"/>
    <w:rsid w:val="77EC954F"/>
    <w:rsid w:val="77ED2842"/>
    <w:rsid w:val="77FE7E85"/>
    <w:rsid w:val="77FF45FE"/>
    <w:rsid w:val="78E5D2F3"/>
    <w:rsid w:val="79570620"/>
    <w:rsid w:val="795ED20C"/>
    <w:rsid w:val="79BBB943"/>
    <w:rsid w:val="79FC2D29"/>
    <w:rsid w:val="79FDADA6"/>
    <w:rsid w:val="7AA787CB"/>
    <w:rsid w:val="7AAFF317"/>
    <w:rsid w:val="7ADDF087"/>
    <w:rsid w:val="7AFB10CE"/>
    <w:rsid w:val="7AFF92F9"/>
    <w:rsid w:val="7B3F7C8E"/>
    <w:rsid w:val="7B716916"/>
    <w:rsid w:val="7B9637A2"/>
    <w:rsid w:val="7BD3C2D8"/>
    <w:rsid w:val="7BEFC7CD"/>
    <w:rsid w:val="7BFBE8AB"/>
    <w:rsid w:val="7BFDA452"/>
    <w:rsid w:val="7BFE03F7"/>
    <w:rsid w:val="7BFE4BAF"/>
    <w:rsid w:val="7BFF0C11"/>
    <w:rsid w:val="7BFF28E2"/>
    <w:rsid w:val="7BFFAD8D"/>
    <w:rsid w:val="7C1FE63E"/>
    <w:rsid w:val="7CDD3A1F"/>
    <w:rsid w:val="7CE3BA93"/>
    <w:rsid w:val="7CFC4261"/>
    <w:rsid w:val="7D4C9425"/>
    <w:rsid w:val="7D6F3FDA"/>
    <w:rsid w:val="7D769E51"/>
    <w:rsid w:val="7D7F5FF3"/>
    <w:rsid w:val="7D7FF4A3"/>
    <w:rsid w:val="7DA73239"/>
    <w:rsid w:val="7DBB6982"/>
    <w:rsid w:val="7DF72672"/>
    <w:rsid w:val="7DFA3A64"/>
    <w:rsid w:val="7DFBF668"/>
    <w:rsid w:val="7DFD4C25"/>
    <w:rsid w:val="7DFDB88E"/>
    <w:rsid w:val="7E3FA794"/>
    <w:rsid w:val="7E6FF977"/>
    <w:rsid w:val="7E79C54D"/>
    <w:rsid w:val="7E7B1A38"/>
    <w:rsid w:val="7EEF3786"/>
    <w:rsid w:val="7EEFC08C"/>
    <w:rsid w:val="7EFE1CB4"/>
    <w:rsid w:val="7EFF6A30"/>
    <w:rsid w:val="7F3B2121"/>
    <w:rsid w:val="7F5ADC7C"/>
    <w:rsid w:val="7F5DAB17"/>
    <w:rsid w:val="7F6BF9F4"/>
    <w:rsid w:val="7F6F24E9"/>
    <w:rsid w:val="7F773CF2"/>
    <w:rsid w:val="7F77A673"/>
    <w:rsid w:val="7F7C0BF9"/>
    <w:rsid w:val="7F7E8E6C"/>
    <w:rsid w:val="7F7EE532"/>
    <w:rsid w:val="7F7F6498"/>
    <w:rsid w:val="7F8FDB46"/>
    <w:rsid w:val="7FAEA41D"/>
    <w:rsid w:val="7FB36087"/>
    <w:rsid w:val="7FBBC775"/>
    <w:rsid w:val="7FBE0460"/>
    <w:rsid w:val="7FBEA0C3"/>
    <w:rsid w:val="7FBF39D6"/>
    <w:rsid w:val="7FCB14A8"/>
    <w:rsid w:val="7FCCAFFA"/>
    <w:rsid w:val="7FD227CA"/>
    <w:rsid w:val="7FDD4279"/>
    <w:rsid w:val="7FDD9203"/>
    <w:rsid w:val="7FDF372B"/>
    <w:rsid w:val="7FDFA811"/>
    <w:rsid w:val="7FE6BABA"/>
    <w:rsid w:val="7FE75F9D"/>
    <w:rsid w:val="7FE7EC82"/>
    <w:rsid w:val="7FEBC756"/>
    <w:rsid w:val="7FED4A85"/>
    <w:rsid w:val="7FED54AA"/>
    <w:rsid w:val="7FEDABA6"/>
    <w:rsid w:val="7FEE2126"/>
    <w:rsid w:val="7FEE5106"/>
    <w:rsid w:val="7FEF0101"/>
    <w:rsid w:val="7FF5DBEB"/>
    <w:rsid w:val="7FF7064C"/>
    <w:rsid w:val="7FF715A9"/>
    <w:rsid w:val="7FF7C83D"/>
    <w:rsid w:val="7FF8A2E3"/>
    <w:rsid w:val="7FF93EA3"/>
    <w:rsid w:val="7FFCBA90"/>
    <w:rsid w:val="7FFCC5A7"/>
    <w:rsid w:val="7FFCF210"/>
    <w:rsid w:val="7FFEEDFC"/>
    <w:rsid w:val="7FFF85E4"/>
    <w:rsid w:val="7FFF93DC"/>
    <w:rsid w:val="7FFFC5BE"/>
    <w:rsid w:val="7FFFC64F"/>
    <w:rsid w:val="818FEC7B"/>
    <w:rsid w:val="8BBB2974"/>
    <w:rsid w:val="8BDB1614"/>
    <w:rsid w:val="8E3F8796"/>
    <w:rsid w:val="8EEE55A4"/>
    <w:rsid w:val="8F6789D3"/>
    <w:rsid w:val="914BDD86"/>
    <w:rsid w:val="97779A81"/>
    <w:rsid w:val="99FEDCA4"/>
    <w:rsid w:val="9ADF73EC"/>
    <w:rsid w:val="9B656BC2"/>
    <w:rsid w:val="9BFDD600"/>
    <w:rsid w:val="9DFDA232"/>
    <w:rsid w:val="9DFEB0C2"/>
    <w:rsid w:val="9F2799E1"/>
    <w:rsid w:val="9F5B83CF"/>
    <w:rsid w:val="9FBB5C54"/>
    <w:rsid w:val="9FCB50C4"/>
    <w:rsid w:val="9FF62414"/>
    <w:rsid w:val="9FF89693"/>
    <w:rsid w:val="9FFF9152"/>
    <w:rsid w:val="A5FE136A"/>
    <w:rsid w:val="A6FDD7B8"/>
    <w:rsid w:val="A797F5E9"/>
    <w:rsid w:val="ABF66E70"/>
    <w:rsid w:val="ADFF6ECA"/>
    <w:rsid w:val="AEA54539"/>
    <w:rsid w:val="AEEDD795"/>
    <w:rsid w:val="AF7F66AF"/>
    <w:rsid w:val="AFE7380C"/>
    <w:rsid w:val="AFF76DFB"/>
    <w:rsid w:val="B27F118E"/>
    <w:rsid w:val="B62DE142"/>
    <w:rsid w:val="B6F7221D"/>
    <w:rsid w:val="B6FCA7D1"/>
    <w:rsid w:val="B97FFBBF"/>
    <w:rsid w:val="BA75A168"/>
    <w:rsid w:val="BA79DB8B"/>
    <w:rsid w:val="BB3F2D30"/>
    <w:rsid w:val="BBDF797F"/>
    <w:rsid w:val="BBE9CFF4"/>
    <w:rsid w:val="BBF75373"/>
    <w:rsid w:val="BBFE893B"/>
    <w:rsid w:val="BCDFE096"/>
    <w:rsid w:val="BDAF7015"/>
    <w:rsid w:val="BDB72AE3"/>
    <w:rsid w:val="BDB9A056"/>
    <w:rsid w:val="BDDC46F1"/>
    <w:rsid w:val="BDDEA22B"/>
    <w:rsid w:val="BDDFA009"/>
    <w:rsid w:val="BE36F705"/>
    <w:rsid w:val="BE7F0393"/>
    <w:rsid w:val="BE7FB397"/>
    <w:rsid w:val="BEB36C14"/>
    <w:rsid w:val="BEF5D76E"/>
    <w:rsid w:val="BF3F2462"/>
    <w:rsid w:val="BF573E79"/>
    <w:rsid w:val="BF6959E4"/>
    <w:rsid w:val="BF7E8148"/>
    <w:rsid w:val="BFBC1F09"/>
    <w:rsid w:val="BFC7ABEE"/>
    <w:rsid w:val="BFCE9A4F"/>
    <w:rsid w:val="BFDB3A65"/>
    <w:rsid w:val="BFDDCFC1"/>
    <w:rsid w:val="BFFF4F2B"/>
    <w:rsid w:val="BFFF75B4"/>
    <w:rsid w:val="BFFF7AF6"/>
    <w:rsid w:val="C7FA3D5C"/>
    <w:rsid w:val="C96DA9B1"/>
    <w:rsid w:val="C9FDC0FE"/>
    <w:rsid w:val="CA7F60EE"/>
    <w:rsid w:val="CA9779DC"/>
    <w:rsid w:val="CABBF412"/>
    <w:rsid w:val="CE7FBD92"/>
    <w:rsid w:val="CF482026"/>
    <w:rsid w:val="CF5F86F3"/>
    <w:rsid w:val="CFAF05D3"/>
    <w:rsid w:val="CFF8D8F9"/>
    <w:rsid w:val="CFFD3DF5"/>
    <w:rsid w:val="D1773CF0"/>
    <w:rsid w:val="D77F93ED"/>
    <w:rsid w:val="D7DBE5CC"/>
    <w:rsid w:val="D7EE8C67"/>
    <w:rsid w:val="D7F95C59"/>
    <w:rsid w:val="D7FA4A3C"/>
    <w:rsid w:val="D7FE9FFA"/>
    <w:rsid w:val="D86ED20B"/>
    <w:rsid w:val="D8FC3658"/>
    <w:rsid w:val="D9BC6A0E"/>
    <w:rsid w:val="D9FD7FAB"/>
    <w:rsid w:val="DAEB38F6"/>
    <w:rsid w:val="DBD6664F"/>
    <w:rsid w:val="DBFAFA68"/>
    <w:rsid w:val="DBFD6A7E"/>
    <w:rsid w:val="DD07BE4C"/>
    <w:rsid w:val="DD9EF8EE"/>
    <w:rsid w:val="DDA47639"/>
    <w:rsid w:val="DDAD3FAD"/>
    <w:rsid w:val="DDE3E4E9"/>
    <w:rsid w:val="DEAB020D"/>
    <w:rsid w:val="DEBB11BE"/>
    <w:rsid w:val="DEDF5C30"/>
    <w:rsid w:val="DF3CF989"/>
    <w:rsid w:val="DF7A0AB0"/>
    <w:rsid w:val="DF8F883D"/>
    <w:rsid w:val="DF9BCCCC"/>
    <w:rsid w:val="DFBD31AF"/>
    <w:rsid w:val="DFEBA899"/>
    <w:rsid w:val="DFFBE3EF"/>
    <w:rsid w:val="DFFDAF76"/>
    <w:rsid w:val="E23E7C68"/>
    <w:rsid w:val="E32F7171"/>
    <w:rsid w:val="E4FE1654"/>
    <w:rsid w:val="E5B7198A"/>
    <w:rsid w:val="E77F5DE3"/>
    <w:rsid w:val="E79F7282"/>
    <w:rsid w:val="E7ABEAFA"/>
    <w:rsid w:val="E7BEA7CD"/>
    <w:rsid w:val="E91DF239"/>
    <w:rsid w:val="E9DB23AE"/>
    <w:rsid w:val="EBFF8483"/>
    <w:rsid w:val="EDBF254D"/>
    <w:rsid w:val="EDED1F58"/>
    <w:rsid w:val="EE72D72F"/>
    <w:rsid w:val="EF364D87"/>
    <w:rsid w:val="EF3BD31F"/>
    <w:rsid w:val="EF7F3DD7"/>
    <w:rsid w:val="EF878362"/>
    <w:rsid w:val="EF99C452"/>
    <w:rsid w:val="EFB10C21"/>
    <w:rsid w:val="EFDFBF3A"/>
    <w:rsid w:val="EFDFC0CC"/>
    <w:rsid w:val="EFEF2424"/>
    <w:rsid w:val="EFF20179"/>
    <w:rsid w:val="EFF20558"/>
    <w:rsid w:val="EFFA61B9"/>
    <w:rsid w:val="F1611236"/>
    <w:rsid w:val="F1FCA633"/>
    <w:rsid w:val="F242EFEE"/>
    <w:rsid w:val="F2FB041C"/>
    <w:rsid w:val="F3A5CFF7"/>
    <w:rsid w:val="F3B7B8B9"/>
    <w:rsid w:val="F3F7DC95"/>
    <w:rsid w:val="F45C7733"/>
    <w:rsid w:val="F4B95278"/>
    <w:rsid w:val="F4FFE3D9"/>
    <w:rsid w:val="F59B24B4"/>
    <w:rsid w:val="F5D984A3"/>
    <w:rsid w:val="F6573A69"/>
    <w:rsid w:val="F6B7D559"/>
    <w:rsid w:val="F6D8CF3D"/>
    <w:rsid w:val="F7355490"/>
    <w:rsid w:val="F7571115"/>
    <w:rsid w:val="F773E640"/>
    <w:rsid w:val="F77D56B4"/>
    <w:rsid w:val="F795087D"/>
    <w:rsid w:val="F797AD27"/>
    <w:rsid w:val="F7EF1E9D"/>
    <w:rsid w:val="F7FFCF36"/>
    <w:rsid w:val="F941D580"/>
    <w:rsid w:val="F97D2C13"/>
    <w:rsid w:val="F97FC53A"/>
    <w:rsid w:val="F9BBF3E2"/>
    <w:rsid w:val="F9FB4C8C"/>
    <w:rsid w:val="FA7F12D9"/>
    <w:rsid w:val="FA9F07BB"/>
    <w:rsid w:val="FAA70CDA"/>
    <w:rsid w:val="FB3FF545"/>
    <w:rsid w:val="FB7D2A3F"/>
    <w:rsid w:val="FB7D991A"/>
    <w:rsid w:val="FB7F8D58"/>
    <w:rsid w:val="FB7FE491"/>
    <w:rsid w:val="FB9B3741"/>
    <w:rsid w:val="FBAE21DB"/>
    <w:rsid w:val="FBAF87E9"/>
    <w:rsid w:val="FBB69184"/>
    <w:rsid w:val="FBB70E87"/>
    <w:rsid w:val="FBBF61D1"/>
    <w:rsid w:val="FBC7702E"/>
    <w:rsid w:val="FBF6B243"/>
    <w:rsid w:val="FBFBE4A4"/>
    <w:rsid w:val="FBFD7737"/>
    <w:rsid w:val="FBFE1DF4"/>
    <w:rsid w:val="FBFFD1E8"/>
    <w:rsid w:val="FC7FA954"/>
    <w:rsid w:val="FCB76156"/>
    <w:rsid w:val="FCE64659"/>
    <w:rsid w:val="FCE70216"/>
    <w:rsid w:val="FCFF39A1"/>
    <w:rsid w:val="FCFFCCCA"/>
    <w:rsid w:val="FD7D3A98"/>
    <w:rsid w:val="FDAE6D35"/>
    <w:rsid w:val="FDBA21F1"/>
    <w:rsid w:val="FDC5F9A4"/>
    <w:rsid w:val="FDDB2F0F"/>
    <w:rsid w:val="FDEEBC81"/>
    <w:rsid w:val="FDFED02F"/>
    <w:rsid w:val="FDFF7AA1"/>
    <w:rsid w:val="FE39EA9D"/>
    <w:rsid w:val="FE4FE80D"/>
    <w:rsid w:val="FEB50A4D"/>
    <w:rsid w:val="FEBD742B"/>
    <w:rsid w:val="FEDF05BD"/>
    <w:rsid w:val="FEDF9A34"/>
    <w:rsid w:val="FEEFEDC3"/>
    <w:rsid w:val="FEFB6327"/>
    <w:rsid w:val="FEFE1B7C"/>
    <w:rsid w:val="FF3FC6F0"/>
    <w:rsid w:val="FF4F28B6"/>
    <w:rsid w:val="FF570ABC"/>
    <w:rsid w:val="FF5FAF83"/>
    <w:rsid w:val="FF6D0D37"/>
    <w:rsid w:val="FF764BE9"/>
    <w:rsid w:val="FF774D6C"/>
    <w:rsid w:val="FF77991F"/>
    <w:rsid w:val="FF7D884A"/>
    <w:rsid w:val="FF7F583A"/>
    <w:rsid w:val="FFBF6425"/>
    <w:rsid w:val="FFC76152"/>
    <w:rsid w:val="FFD93123"/>
    <w:rsid w:val="FFDBA9B8"/>
    <w:rsid w:val="FFEBCEAD"/>
    <w:rsid w:val="FFEDFBBA"/>
    <w:rsid w:val="FFEF1046"/>
    <w:rsid w:val="FFEFED53"/>
    <w:rsid w:val="FFF17D67"/>
    <w:rsid w:val="FFF5149D"/>
    <w:rsid w:val="FFF6D676"/>
    <w:rsid w:val="FFF709D1"/>
    <w:rsid w:val="FFF92D66"/>
    <w:rsid w:val="FFFADE2E"/>
    <w:rsid w:val="FFFE4BE0"/>
    <w:rsid w:val="FFFFDD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15DCE49D"/>
  <w15:docId w15:val="{C594C609-0BC6-4282-A029-BB061EEBD8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Subtitle"/>
    <w:basedOn w:val="a"/>
    <w:next w:val="a"/>
    <w:link w:val="a8"/>
    <w:uiPriority w:val="11"/>
    <w:qFormat/>
    <w:p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9">
    <w:name w:val="Normal (Web)"/>
    <w:basedOn w:val="a"/>
    <w:qFormat/>
    <w:rPr>
      <w:sz w:val="24"/>
      <w:szCs w:val="24"/>
    </w:rPr>
  </w:style>
  <w:style w:type="paragraph" w:styleId="aa">
    <w:name w:val="Title"/>
    <w:basedOn w:val="a"/>
    <w:next w:val="a"/>
    <w:link w:val="ab"/>
    <w:uiPriority w:val="10"/>
    <w:qFormat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ac">
    <w:name w:val="Hyperlink"/>
    <w:basedOn w:val="a0"/>
    <w:uiPriority w:val="99"/>
    <w:unhideWhenUsed/>
    <w:rPr>
      <w:color w:val="467886" w:themeColor="hyperlink"/>
      <w:u w:val="single"/>
    </w:rPr>
  </w:style>
  <w:style w:type="character" w:customStyle="1" w:styleId="10">
    <w:name w:val="标题 1 字符"/>
    <w:basedOn w:val="a0"/>
    <w:link w:val="1"/>
    <w:uiPriority w:val="9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Pr>
      <w:rFonts w:cstheme="majorBidi"/>
      <w:color w:val="0F4761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Pr>
      <w:rFonts w:eastAsiaTheme="majorEastAsia" w:cstheme="majorBidi"/>
      <w:color w:val="595959" w:themeColor="text1" w:themeTint="A6"/>
    </w:rPr>
  </w:style>
  <w:style w:type="character" w:customStyle="1" w:styleId="ab">
    <w:name w:val="标题 字符"/>
    <w:basedOn w:val="a0"/>
    <w:link w:val="aa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8">
    <w:name w:val="副标题 字符"/>
    <w:basedOn w:val="a0"/>
    <w:link w:val="a7"/>
    <w:uiPriority w:val="1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d">
    <w:name w:val="Quote"/>
    <w:basedOn w:val="a"/>
    <w:next w:val="a"/>
    <w:link w:val="ae"/>
    <w:uiPriority w:val="29"/>
    <w:qFormat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e">
    <w:name w:val="引用 字符"/>
    <w:basedOn w:val="a0"/>
    <w:link w:val="ad"/>
    <w:uiPriority w:val="29"/>
    <w:rPr>
      <w:i/>
      <w:iCs/>
      <w:color w:val="404040" w:themeColor="text1" w:themeTint="BF"/>
    </w:rPr>
  </w:style>
  <w:style w:type="paragraph" w:styleId="af">
    <w:name w:val="List Paragraph"/>
    <w:basedOn w:val="a"/>
    <w:uiPriority w:val="34"/>
    <w:qFormat/>
    <w:pPr>
      <w:ind w:left="720"/>
      <w:contextualSpacing/>
    </w:pPr>
  </w:style>
  <w:style w:type="character" w:customStyle="1" w:styleId="11">
    <w:name w:val="明显强调1"/>
    <w:basedOn w:val="a0"/>
    <w:uiPriority w:val="21"/>
    <w:qFormat/>
    <w:rPr>
      <w:i/>
      <w:iCs/>
      <w:color w:val="0F4761" w:themeColor="accent1" w:themeShade="BF"/>
    </w:rPr>
  </w:style>
  <w:style w:type="paragraph" w:styleId="af0">
    <w:name w:val="Intense Quote"/>
    <w:basedOn w:val="a"/>
    <w:next w:val="a"/>
    <w:link w:val="af1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f1">
    <w:name w:val="明显引用 字符"/>
    <w:basedOn w:val="a0"/>
    <w:link w:val="af0"/>
    <w:uiPriority w:val="30"/>
    <w:rPr>
      <w:i/>
      <w:iCs/>
      <w:color w:val="0F4761" w:themeColor="accent1" w:themeShade="BF"/>
    </w:rPr>
  </w:style>
  <w:style w:type="character" w:customStyle="1" w:styleId="12">
    <w:name w:val="明显参考1"/>
    <w:basedOn w:val="a0"/>
    <w:uiPriority w:val="32"/>
    <w:qFormat/>
    <w:rPr>
      <w:b/>
      <w:bCs/>
      <w:smallCaps/>
      <w:color w:val="0F4761" w:themeColor="accent1" w:themeShade="BF"/>
      <w:spacing w:val="5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  <w:style w:type="character" w:customStyle="1" w:styleId="13">
    <w:name w:val="未处理的提及1"/>
    <w:basedOn w:val="a0"/>
    <w:uiPriority w:val="99"/>
    <w:semiHidden/>
    <w:unhideWhenUsed/>
    <w:rPr>
      <w:color w:val="605E5C"/>
      <w:shd w:val="clear" w:color="auto" w:fill="E1DFDD"/>
    </w:rPr>
  </w:style>
  <w:style w:type="paragraph" w:styleId="af2">
    <w:name w:val="Revision"/>
    <w:hidden/>
    <w:uiPriority w:val="99"/>
    <w:unhideWhenUsed/>
    <w:rsid w:val="003D4953"/>
    <w:rPr>
      <w:rFonts w:asciiTheme="minorHAnsi" w:eastAsiaTheme="minorEastAsia" w:hAnsiTheme="minorHAnsi" w:cstheme="minorBid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D70EE5-799C-4325-84B6-9778768CE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959</Words>
  <Characters>6074</Characters>
  <Application>Microsoft Office Word</Application>
  <DocSecurity>0</DocSecurity>
  <Lines>96</Lines>
  <Paragraphs>23</Paragraphs>
  <ScaleCrop>false</ScaleCrop>
  <Company/>
  <LinksUpToDate>false</LinksUpToDate>
  <CharactersWithSpaces>7010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昭仪 李</dc:creator>
  <cp:lastModifiedBy>昭仪 李</cp:lastModifiedBy>
  <cp:revision>7</cp:revision>
  <dcterms:created xsi:type="dcterms:W3CDTF">2026-04-12T00:01:00Z</dcterms:created>
  <dcterms:modified xsi:type="dcterms:W3CDTF">2026-05-03T02:27:00Z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2052-12.1.25869.25869</vt:lpwstr>
  </property>
  <property fmtid="{D5CDD505-2E9C-101B-9397-08002B2CF9AE}" pid="3" name="ICV">
    <vt:lpwstr>8D681A088CCFD964E4CCDD69F360C8CA_42</vt:lpwstr>
  </property>
</Properties>
</file>